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43C" w:rsidRPr="008B2502" w:rsidRDefault="00D10FC1" w:rsidP="00D10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502">
        <w:rPr>
          <w:rFonts w:ascii="Times New Roman" w:hAnsi="Times New Roman" w:cs="Times New Roman"/>
          <w:sz w:val="28"/>
          <w:szCs w:val="28"/>
        </w:rPr>
        <w:t xml:space="preserve">юрисконсульт I категории </w:t>
      </w:r>
    </w:p>
    <w:p w:rsidR="0023043C" w:rsidRPr="008B2502" w:rsidRDefault="00D10FC1" w:rsidP="00D10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502">
        <w:rPr>
          <w:rFonts w:ascii="Times New Roman" w:hAnsi="Times New Roman" w:cs="Times New Roman"/>
          <w:sz w:val="28"/>
          <w:szCs w:val="28"/>
        </w:rPr>
        <w:t>отдела материально-технического снабжения</w:t>
      </w:r>
    </w:p>
    <w:p w:rsidR="0023043C" w:rsidRPr="008B2502" w:rsidRDefault="00D10FC1" w:rsidP="00D10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502">
        <w:rPr>
          <w:rFonts w:ascii="Times New Roman" w:hAnsi="Times New Roman" w:cs="Times New Roman"/>
          <w:sz w:val="28"/>
          <w:szCs w:val="28"/>
        </w:rPr>
        <w:t xml:space="preserve"> </w:t>
      </w:r>
      <w:r w:rsidR="0023043C" w:rsidRPr="008B2502">
        <w:rPr>
          <w:rFonts w:ascii="Times New Roman" w:hAnsi="Times New Roman" w:cs="Times New Roman"/>
          <w:sz w:val="28"/>
          <w:szCs w:val="28"/>
        </w:rPr>
        <w:t xml:space="preserve">Государственное бюджетное учреждение здравоохранения </w:t>
      </w:r>
    </w:p>
    <w:p w:rsidR="0023043C" w:rsidRPr="008B2502" w:rsidRDefault="0023043C" w:rsidP="00D10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502">
        <w:rPr>
          <w:rFonts w:ascii="Times New Roman" w:hAnsi="Times New Roman" w:cs="Times New Roman"/>
          <w:sz w:val="28"/>
          <w:szCs w:val="28"/>
        </w:rPr>
        <w:t xml:space="preserve">Республиканский клинический онкологический диспансер </w:t>
      </w:r>
    </w:p>
    <w:p w:rsidR="0023043C" w:rsidRPr="008B2502" w:rsidRDefault="0023043C" w:rsidP="00D10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B2502">
        <w:rPr>
          <w:rFonts w:ascii="Times New Roman" w:hAnsi="Times New Roman" w:cs="Times New Roman"/>
          <w:sz w:val="28"/>
          <w:szCs w:val="28"/>
        </w:rPr>
        <w:t xml:space="preserve">Министерства здравоохранения </w:t>
      </w:r>
    </w:p>
    <w:bookmarkEnd w:id="0"/>
    <w:p w:rsidR="0023043C" w:rsidRPr="008B2502" w:rsidRDefault="0023043C" w:rsidP="00D10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50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BA5546" w:rsidRPr="008B2502" w:rsidRDefault="00D10FC1" w:rsidP="00D10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2502">
        <w:rPr>
          <w:rFonts w:ascii="Times New Roman" w:hAnsi="Times New Roman" w:cs="Times New Roman"/>
          <w:sz w:val="28"/>
          <w:szCs w:val="28"/>
        </w:rPr>
        <w:t>Ядыкин</w:t>
      </w:r>
      <w:proofErr w:type="spellEnd"/>
      <w:r w:rsidRPr="008B2502">
        <w:rPr>
          <w:rFonts w:ascii="Times New Roman" w:hAnsi="Times New Roman" w:cs="Times New Roman"/>
          <w:sz w:val="28"/>
          <w:szCs w:val="28"/>
        </w:rPr>
        <w:t xml:space="preserve"> Васили</w:t>
      </w:r>
      <w:r w:rsidR="0023043C" w:rsidRPr="008B2502">
        <w:rPr>
          <w:rFonts w:ascii="Times New Roman" w:hAnsi="Times New Roman" w:cs="Times New Roman"/>
          <w:sz w:val="28"/>
          <w:szCs w:val="28"/>
        </w:rPr>
        <w:t>й</w:t>
      </w:r>
      <w:r w:rsidRPr="008B2502">
        <w:rPr>
          <w:rFonts w:ascii="Times New Roman" w:hAnsi="Times New Roman" w:cs="Times New Roman"/>
          <w:sz w:val="28"/>
          <w:szCs w:val="28"/>
        </w:rPr>
        <w:t xml:space="preserve"> Сергеевич</w:t>
      </w:r>
    </w:p>
    <w:p w:rsidR="00F11AFB" w:rsidRPr="008B2502" w:rsidRDefault="00F11AFB" w:rsidP="00D10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FC1" w:rsidRPr="008B2502" w:rsidRDefault="00F11AFB" w:rsidP="00F11A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502">
        <w:rPr>
          <w:rFonts w:ascii="Times New Roman" w:hAnsi="Times New Roman" w:cs="Times New Roman"/>
          <w:b/>
          <w:sz w:val="28"/>
          <w:szCs w:val="28"/>
        </w:rPr>
        <w:t>СОБЛЮДЕНИЕ НАЧАЛЬНЫХ МАКСИМАЛЬНЫХ ЦЕН ПОПОЗИЦИОННО</w:t>
      </w:r>
      <w:r w:rsidR="0023043C" w:rsidRPr="008B2502">
        <w:rPr>
          <w:rFonts w:ascii="Times New Roman" w:hAnsi="Times New Roman" w:cs="Times New Roman"/>
          <w:b/>
          <w:sz w:val="28"/>
          <w:szCs w:val="28"/>
        </w:rPr>
        <w:t xml:space="preserve"> И ЦЕН ЗА ЕДИНИЦУ ТОВАРА (РАБОТЫ, УСЛУГИ)  </w:t>
      </w:r>
      <w:r w:rsidRPr="008B2502">
        <w:rPr>
          <w:rFonts w:ascii="Times New Roman" w:hAnsi="Times New Roman" w:cs="Times New Roman"/>
          <w:b/>
          <w:sz w:val="28"/>
          <w:szCs w:val="28"/>
        </w:rPr>
        <w:t>НА СТАДИИ ЗАКЛЮЧЕНИЯ ДОГОВОРА ПО ИТОГАМ ЭЛЕКТРОННОГО АУКЦИОНА КАК СПОСОБ ПРОТИВОДЕЙСТВИЯ КОРРУПЦИИ</w:t>
      </w:r>
    </w:p>
    <w:p w:rsidR="00D10FC1" w:rsidRPr="008B2502" w:rsidRDefault="00D10FC1" w:rsidP="00D10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612" w:rsidRDefault="005B5612" w:rsidP="00230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Концепция развития контрактной системы подразумевает переход всех конкурентных процедур</w:t>
      </w:r>
      <w:r w:rsidR="002F22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электронную форму. При этом основной и единственной формой становится электронный ау</w:t>
      </w:r>
      <w:r w:rsidR="002F22AC">
        <w:rPr>
          <w:rFonts w:ascii="Times New Roman" w:hAnsi="Times New Roman" w:cs="Times New Roman"/>
          <w:sz w:val="28"/>
          <w:szCs w:val="28"/>
        </w:rPr>
        <w:t xml:space="preserve">кцион, как самая прозрачная и </w:t>
      </w:r>
      <w:proofErr w:type="spellStart"/>
      <w:r w:rsidR="002F22AC">
        <w:rPr>
          <w:rFonts w:ascii="Times New Roman" w:hAnsi="Times New Roman" w:cs="Times New Roman"/>
          <w:sz w:val="28"/>
          <w:szCs w:val="28"/>
        </w:rPr>
        <w:t>минимизирующая</w:t>
      </w:r>
      <w:proofErr w:type="spellEnd"/>
      <w:r w:rsidR="002F22AC">
        <w:rPr>
          <w:rFonts w:ascii="Times New Roman" w:hAnsi="Times New Roman" w:cs="Times New Roman"/>
          <w:sz w:val="28"/>
          <w:szCs w:val="28"/>
        </w:rPr>
        <w:t xml:space="preserve"> риск</w:t>
      </w:r>
      <w:r>
        <w:rPr>
          <w:rFonts w:ascii="Times New Roman" w:hAnsi="Times New Roman" w:cs="Times New Roman"/>
          <w:sz w:val="28"/>
          <w:szCs w:val="28"/>
        </w:rPr>
        <w:t xml:space="preserve"> злоупотреблений (а также сокрытия злоупотреблений) конкурентная процедура. Однако при заключении договора по итогам электронного аукциона существуют «пробелы» в правовом регулировании,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мнению автора позволяют нивелировать все плюсы чистой конкуренции данной конкурентной процедуры.</w:t>
      </w:r>
    </w:p>
    <w:p w:rsidR="00D10FC1" w:rsidRPr="008B2502" w:rsidRDefault="0023043C" w:rsidP="00230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02">
        <w:rPr>
          <w:rFonts w:ascii="Times New Roman" w:hAnsi="Times New Roman" w:cs="Times New Roman"/>
          <w:sz w:val="28"/>
          <w:szCs w:val="28"/>
        </w:rPr>
        <w:t>Часть 2 статьи 70 Зак</w:t>
      </w:r>
      <w:r w:rsidR="00D10FC1" w:rsidRPr="008B2502">
        <w:rPr>
          <w:rFonts w:ascii="Times New Roman" w:hAnsi="Times New Roman" w:cs="Times New Roman"/>
          <w:sz w:val="28"/>
          <w:szCs w:val="28"/>
        </w:rPr>
        <w:t>она о контрактной системе предписывает заказчику разместить «</w:t>
      </w:r>
      <w:r w:rsidR="00D10FC1" w:rsidRPr="008B2502">
        <w:rPr>
          <w:rFonts w:ascii="Times New Roman" w:hAnsi="Times New Roman" w:cs="Times New Roman"/>
          <w:i/>
          <w:sz w:val="28"/>
          <w:szCs w:val="28"/>
        </w:rPr>
        <w:t xml:space="preserve">проект контракта, который составляется путем включения цены контракта, предложенной участником ЭА, с которым заключается контракт, информации о товаре (товарном знаке и (или) конкретных показателях товара), указанной в заявке на участие в таком аукционе его участника, </w:t>
      </w:r>
      <w:proofErr w:type="gramStart"/>
      <w:r w:rsidR="00D10FC1" w:rsidRPr="008B2502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D10FC1" w:rsidRPr="008B2502">
        <w:rPr>
          <w:rFonts w:ascii="Times New Roman" w:hAnsi="Times New Roman" w:cs="Times New Roman"/>
          <w:i/>
          <w:sz w:val="28"/>
          <w:szCs w:val="28"/>
        </w:rPr>
        <w:t xml:space="preserve"> проект контракта, прилагаемый к документации о таком аукционе</w:t>
      </w:r>
      <w:r w:rsidR="00D10FC1" w:rsidRPr="008B2502">
        <w:rPr>
          <w:rFonts w:ascii="Times New Roman" w:hAnsi="Times New Roman" w:cs="Times New Roman"/>
          <w:sz w:val="28"/>
          <w:szCs w:val="28"/>
        </w:rPr>
        <w:t>».</w:t>
      </w:r>
    </w:p>
    <w:p w:rsidR="00D10FC1" w:rsidRPr="008B2502" w:rsidRDefault="00D10FC1" w:rsidP="00230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02">
        <w:rPr>
          <w:rFonts w:ascii="Times New Roman" w:hAnsi="Times New Roman" w:cs="Times New Roman"/>
          <w:sz w:val="28"/>
          <w:szCs w:val="28"/>
        </w:rPr>
        <w:t xml:space="preserve">Однако Закон не регламентирует порядок ценообразования единицы </w:t>
      </w:r>
      <w:r w:rsidR="0023043C" w:rsidRPr="008B2502">
        <w:rPr>
          <w:rFonts w:ascii="Times New Roman" w:hAnsi="Times New Roman" w:cs="Times New Roman"/>
          <w:sz w:val="28"/>
          <w:szCs w:val="28"/>
        </w:rPr>
        <w:t>товара (работы, услуги) (далее ТРУ)</w:t>
      </w:r>
      <w:r w:rsidRPr="008B2502">
        <w:rPr>
          <w:rFonts w:ascii="Times New Roman" w:hAnsi="Times New Roman" w:cs="Times New Roman"/>
          <w:sz w:val="28"/>
          <w:szCs w:val="28"/>
        </w:rPr>
        <w:t xml:space="preserve">, а также стоимости каждой позиции </w:t>
      </w:r>
      <w:r w:rsidR="0023043C" w:rsidRPr="008B2502">
        <w:rPr>
          <w:rFonts w:ascii="Times New Roman" w:hAnsi="Times New Roman" w:cs="Times New Roman"/>
          <w:sz w:val="28"/>
          <w:szCs w:val="28"/>
        </w:rPr>
        <w:t>товара (работы, услуги)</w:t>
      </w:r>
      <w:r w:rsidRPr="008B2502">
        <w:rPr>
          <w:rFonts w:ascii="Times New Roman" w:hAnsi="Times New Roman" w:cs="Times New Roman"/>
          <w:sz w:val="28"/>
          <w:szCs w:val="28"/>
        </w:rPr>
        <w:t>, на стадии процедур предусмотренных ч</w:t>
      </w:r>
      <w:r w:rsidR="0023043C" w:rsidRPr="008B2502">
        <w:rPr>
          <w:rFonts w:ascii="Times New Roman" w:hAnsi="Times New Roman" w:cs="Times New Roman"/>
          <w:sz w:val="28"/>
          <w:szCs w:val="28"/>
        </w:rPr>
        <w:t>.</w:t>
      </w:r>
      <w:r w:rsidRPr="008B2502">
        <w:rPr>
          <w:rFonts w:ascii="Times New Roman" w:hAnsi="Times New Roman" w:cs="Times New Roman"/>
          <w:sz w:val="28"/>
          <w:szCs w:val="28"/>
        </w:rPr>
        <w:t xml:space="preserve"> 2 ст. 70</w:t>
      </w:r>
      <w:r w:rsidR="0023043C" w:rsidRPr="008B2502">
        <w:rPr>
          <w:rFonts w:ascii="Times New Roman" w:hAnsi="Times New Roman" w:cs="Times New Roman"/>
          <w:sz w:val="28"/>
          <w:szCs w:val="28"/>
        </w:rPr>
        <w:t xml:space="preserve"> Закона о Контрактной си</w:t>
      </w:r>
      <w:r w:rsidR="00070E69" w:rsidRPr="008B2502">
        <w:rPr>
          <w:rFonts w:ascii="Times New Roman" w:hAnsi="Times New Roman" w:cs="Times New Roman"/>
          <w:sz w:val="28"/>
          <w:szCs w:val="28"/>
        </w:rPr>
        <w:t>с</w:t>
      </w:r>
      <w:r w:rsidR="0023043C" w:rsidRPr="008B2502">
        <w:rPr>
          <w:rFonts w:ascii="Times New Roman" w:hAnsi="Times New Roman" w:cs="Times New Roman"/>
          <w:sz w:val="28"/>
          <w:szCs w:val="28"/>
        </w:rPr>
        <w:t>теме</w:t>
      </w:r>
      <w:r w:rsidRPr="008B2502">
        <w:rPr>
          <w:rFonts w:ascii="Times New Roman" w:hAnsi="Times New Roman" w:cs="Times New Roman"/>
          <w:sz w:val="28"/>
          <w:szCs w:val="28"/>
        </w:rPr>
        <w:t xml:space="preserve">, что в свою очередь ведет к возможным злоупотреблениям нижеследующего характера. </w:t>
      </w:r>
    </w:p>
    <w:p w:rsidR="00F11AFB" w:rsidRPr="008B2502" w:rsidRDefault="00D10FC1" w:rsidP="00230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02">
        <w:rPr>
          <w:rFonts w:ascii="Times New Roman" w:hAnsi="Times New Roman" w:cs="Times New Roman"/>
          <w:sz w:val="28"/>
          <w:szCs w:val="28"/>
        </w:rPr>
        <w:t xml:space="preserve">За если </w:t>
      </w:r>
      <w:r w:rsidR="0023043C" w:rsidRPr="008B2502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Pr="008B2502">
        <w:rPr>
          <w:rFonts w:ascii="Times New Roman" w:hAnsi="Times New Roman" w:cs="Times New Roman"/>
          <w:sz w:val="28"/>
          <w:szCs w:val="28"/>
        </w:rPr>
        <w:t>позиций 2 и более</w:t>
      </w:r>
      <w:r w:rsidR="005B5612">
        <w:rPr>
          <w:rFonts w:ascii="Times New Roman" w:hAnsi="Times New Roman" w:cs="Times New Roman"/>
          <w:sz w:val="28"/>
          <w:szCs w:val="28"/>
        </w:rPr>
        <w:t xml:space="preserve"> (в практике автора есть спецификации на 221 позицию товаров и более 600 позиций услуг)</w:t>
      </w:r>
      <w:r w:rsidRPr="008B2502">
        <w:rPr>
          <w:rFonts w:ascii="Times New Roman" w:hAnsi="Times New Roman" w:cs="Times New Roman"/>
          <w:sz w:val="28"/>
          <w:szCs w:val="28"/>
        </w:rPr>
        <w:t>, недобросовестный победитель</w:t>
      </w:r>
      <w:r w:rsidR="002F22AC">
        <w:rPr>
          <w:rFonts w:ascii="Times New Roman" w:hAnsi="Times New Roman" w:cs="Times New Roman"/>
          <w:sz w:val="28"/>
          <w:szCs w:val="28"/>
        </w:rPr>
        <w:t xml:space="preserve"> электронного аукциона</w:t>
      </w:r>
      <w:r w:rsidRPr="008B2502">
        <w:rPr>
          <w:rFonts w:ascii="Times New Roman" w:hAnsi="Times New Roman" w:cs="Times New Roman"/>
          <w:sz w:val="28"/>
          <w:szCs w:val="28"/>
        </w:rPr>
        <w:t xml:space="preserve"> за позицию</w:t>
      </w:r>
      <w:r w:rsidR="002F22AC">
        <w:rPr>
          <w:rFonts w:ascii="Times New Roman" w:hAnsi="Times New Roman" w:cs="Times New Roman"/>
          <w:sz w:val="28"/>
          <w:szCs w:val="28"/>
        </w:rPr>
        <w:t>,</w:t>
      </w:r>
      <w:r w:rsidRPr="008B2502">
        <w:rPr>
          <w:rFonts w:ascii="Times New Roman" w:hAnsi="Times New Roman" w:cs="Times New Roman"/>
          <w:sz w:val="28"/>
          <w:szCs w:val="28"/>
        </w:rPr>
        <w:t xml:space="preserve"> которую он точно может поставить</w:t>
      </w:r>
      <w:r w:rsidR="00D716AD" w:rsidRPr="008B2502">
        <w:rPr>
          <w:rFonts w:ascii="Times New Roman" w:hAnsi="Times New Roman" w:cs="Times New Roman"/>
          <w:sz w:val="28"/>
          <w:szCs w:val="28"/>
        </w:rPr>
        <w:t>,</w:t>
      </w:r>
      <w:r w:rsidRPr="008B2502">
        <w:rPr>
          <w:rFonts w:ascii="Times New Roman" w:hAnsi="Times New Roman" w:cs="Times New Roman"/>
          <w:sz w:val="28"/>
          <w:szCs w:val="28"/>
        </w:rPr>
        <w:t xml:space="preserve"> </w:t>
      </w:r>
      <w:r w:rsidR="005B5612">
        <w:rPr>
          <w:rFonts w:ascii="Times New Roman" w:hAnsi="Times New Roman" w:cs="Times New Roman"/>
          <w:sz w:val="28"/>
          <w:szCs w:val="28"/>
        </w:rPr>
        <w:t>пытается установить</w:t>
      </w:r>
      <w:r w:rsidR="00D716AD" w:rsidRPr="008B2502">
        <w:rPr>
          <w:rFonts w:ascii="Times New Roman" w:hAnsi="Times New Roman" w:cs="Times New Roman"/>
          <w:sz w:val="28"/>
          <w:szCs w:val="28"/>
        </w:rPr>
        <w:t xml:space="preserve"> (через протокол разногласий) </w:t>
      </w:r>
      <w:proofErr w:type="gramStart"/>
      <w:r w:rsidR="00D716AD" w:rsidRPr="008B2502">
        <w:rPr>
          <w:rFonts w:ascii="Times New Roman" w:hAnsi="Times New Roman" w:cs="Times New Roman"/>
          <w:sz w:val="28"/>
          <w:szCs w:val="28"/>
        </w:rPr>
        <w:t>цену</w:t>
      </w:r>
      <w:proofErr w:type="gramEnd"/>
      <w:r w:rsidR="00D716AD" w:rsidRPr="008B2502">
        <w:rPr>
          <w:rFonts w:ascii="Times New Roman" w:hAnsi="Times New Roman" w:cs="Times New Roman"/>
          <w:sz w:val="28"/>
          <w:szCs w:val="28"/>
        </w:rPr>
        <w:t xml:space="preserve"> значительно превышающую НМЦ </w:t>
      </w:r>
      <w:proofErr w:type="spellStart"/>
      <w:r w:rsidR="00D716AD" w:rsidRPr="008B2502">
        <w:rPr>
          <w:rFonts w:ascii="Times New Roman" w:hAnsi="Times New Roman" w:cs="Times New Roman"/>
          <w:sz w:val="28"/>
          <w:szCs w:val="28"/>
        </w:rPr>
        <w:t>попозиционно</w:t>
      </w:r>
      <w:proofErr w:type="spellEnd"/>
      <w:r w:rsidR="00D716AD" w:rsidRPr="008B2502">
        <w:rPr>
          <w:rFonts w:ascii="Times New Roman" w:hAnsi="Times New Roman" w:cs="Times New Roman"/>
          <w:sz w:val="28"/>
          <w:szCs w:val="28"/>
        </w:rPr>
        <w:t xml:space="preserve"> (и тем более единицы ТРУ установленную НМЦ)</w:t>
      </w:r>
      <w:r w:rsidR="00F11AFB" w:rsidRPr="008B2502">
        <w:rPr>
          <w:rFonts w:ascii="Times New Roman" w:hAnsi="Times New Roman" w:cs="Times New Roman"/>
          <w:sz w:val="28"/>
          <w:szCs w:val="28"/>
        </w:rPr>
        <w:t>, есть преце</w:t>
      </w:r>
      <w:r w:rsidR="00D716AD" w:rsidRPr="008B2502">
        <w:rPr>
          <w:rFonts w:ascii="Times New Roman" w:hAnsi="Times New Roman" w:cs="Times New Roman"/>
          <w:sz w:val="28"/>
          <w:szCs w:val="28"/>
        </w:rPr>
        <w:t xml:space="preserve">денты когда делаются попытки 1000% и более превышения (более тысячи процентов). </w:t>
      </w:r>
      <w:r w:rsidR="005B5612">
        <w:rPr>
          <w:rFonts w:ascii="Times New Roman" w:hAnsi="Times New Roman" w:cs="Times New Roman"/>
          <w:sz w:val="28"/>
          <w:szCs w:val="28"/>
        </w:rPr>
        <w:t xml:space="preserve">При этом на позицию, которую недобросовестный победитель электронного аукциона не собирается исполнять </w:t>
      </w:r>
      <w:proofErr w:type="gramStart"/>
      <w:r w:rsidR="005B5612">
        <w:rPr>
          <w:rFonts w:ascii="Times New Roman" w:hAnsi="Times New Roman" w:cs="Times New Roman"/>
          <w:sz w:val="28"/>
          <w:szCs w:val="28"/>
        </w:rPr>
        <w:t>ставится</w:t>
      </w:r>
      <w:proofErr w:type="gramEnd"/>
      <w:r w:rsidR="005B5612">
        <w:rPr>
          <w:rFonts w:ascii="Times New Roman" w:hAnsi="Times New Roman" w:cs="Times New Roman"/>
          <w:sz w:val="28"/>
          <w:szCs w:val="28"/>
        </w:rPr>
        <w:t xml:space="preserve"> сверхнизка цена (есть конкретные случаи попытки поставить за такую «нежелательную» позицию</w:t>
      </w:r>
      <w:r w:rsidR="00650792">
        <w:rPr>
          <w:rFonts w:ascii="Times New Roman" w:hAnsi="Times New Roman" w:cs="Times New Roman"/>
          <w:sz w:val="28"/>
          <w:szCs w:val="28"/>
        </w:rPr>
        <w:t xml:space="preserve"> (или единицу ТРУ)</w:t>
      </w:r>
      <w:r w:rsidR="005B5612">
        <w:rPr>
          <w:rFonts w:ascii="Times New Roman" w:hAnsi="Times New Roman" w:cs="Times New Roman"/>
          <w:sz w:val="28"/>
          <w:szCs w:val="28"/>
        </w:rPr>
        <w:t xml:space="preserve"> 00,01 руб. (ноль рублей ноль копеек)).</w:t>
      </w:r>
    </w:p>
    <w:p w:rsidR="00D10FC1" w:rsidRPr="008B2502" w:rsidRDefault="00D716AD" w:rsidP="00230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02">
        <w:rPr>
          <w:rFonts w:ascii="Times New Roman" w:hAnsi="Times New Roman" w:cs="Times New Roman"/>
          <w:sz w:val="28"/>
          <w:szCs w:val="28"/>
        </w:rPr>
        <w:t xml:space="preserve">Чтобы не нарушить сроки заключения </w:t>
      </w:r>
      <w:r w:rsidR="0023043C" w:rsidRPr="008B2502">
        <w:rPr>
          <w:rFonts w:ascii="Times New Roman" w:hAnsi="Times New Roman" w:cs="Times New Roman"/>
          <w:sz w:val="28"/>
          <w:szCs w:val="28"/>
        </w:rPr>
        <w:t>контракта, установленные Законом о контрактной системе (20 календарных дней)</w:t>
      </w:r>
      <w:r w:rsidRPr="008B2502">
        <w:rPr>
          <w:rFonts w:ascii="Times New Roman" w:hAnsi="Times New Roman" w:cs="Times New Roman"/>
          <w:sz w:val="28"/>
          <w:szCs w:val="28"/>
        </w:rPr>
        <w:t xml:space="preserve">, Заказчики соглашаются на эти </w:t>
      </w:r>
      <w:r w:rsidRPr="008B2502">
        <w:rPr>
          <w:rFonts w:ascii="Times New Roman" w:hAnsi="Times New Roman" w:cs="Times New Roman"/>
          <w:sz w:val="28"/>
          <w:szCs w:val="28"/>
        </w:rPr>
        <w:lastRenderedPageBreak/>
        <w:t>цены</w:t>
      </w:r>
      <w:r w:rsidR="005B5612">
        <w:rPr>
          <w:rFonts w:ascii="Times New Roman" w:hAnsi="Times New Roman" w:cs="Times New Roman"/>
          <w:sz w:val="28"/>
          <w:szCs w:val="28"/>
        </w:rPr>
        <w:t xml:space="preserve">, тем более отсутствуют законные основания требовать соблюдения НМЦ </w:t>
      </w:r>
      <w:proofErr w:type="spellStart"/>
      <w:r w:rsidR="005B5612">
        <w:rPr>
          <w:rFonts w:ascii="Times New Roman" w:hAnsi="Times New Roman" w:cs="Times New Roman"/>
          <w:sz w:val="28"/>
          <w:szCs w:val="28"/>
        </w:rPr>
        <w:t>попозиционно</w:t>
      </w:r>
      <w:proofErr w:type="spellEnd"/>
      <w:r w:rsidR="005B5612">
        <w:rPr>
          <w:rFonts w:ascii="Times New Roman" w:hAnsi="Times New Roman" w:cs="Times New Roman"/>
          <w:sz w:val="28"/>
          <w:szCs w:val="28"/>
        </w:rPr>
        <w:t xml:space="preserve"> (и за единицу</w:t>
      </w:r>
      <w:r w:rsidR="00650792">
        <w:rPr>
          <w:rFonts w:ascii="Times New Roman" w:hAnsi="Times New Roman" w:cs="Times New Roman"/>
          <w:sz w:val="28"/>
          <w:szCs w:val="28"/>
        </w:rPr>
        <w:t xml:space="preserve"> ТРУ</w:t>
      </w:r>
      <w:r w:rsidR="005B5612">
        <w:rPr>
          <w:rFonts w:ascii="Times New Roman" w:hAnsi="Times New Roman" w:cs="Times New Roman"/>
          <w:sz w:val="28"/>
          <w:szCs w:val="28"/>
        </w:rPr>
        <w:t>)</w:t>
      </w:r>
      <w:r w:rsidRPr="008B2502">
        <w:rPr>
          <w:rFonts w:ascii="Times New Roman" w:hAnsi="Times New Roman" w:cs="Times New Roman"/>
          <w:sz w:val="28"/>
          <w:szCs w:val="28"/>
        </w:rPr>
        <w:t>. В итоге поставляется товар (оказываются услуги, выполняются работы) составляющие</w:t>
      </w:r>
      <w:r w:rsidR="005B5612">
        <w:rPr>
          <w:rFonts w:ascii="Times New Roman" w:hAnsi="Times New Roman" w:cs="Times New Roman"/>
          <w:sz w:val="28"/>
          <w:szCs w:val="28"/>
        </w:rPr>
        <w:t xml:space="preserve">, в количественном выражении, </w:t>
      </w:r>
      <w:r w:rsidRPr="008B2502">
        <w:rPr>
          <w:rFonts w:ascii="Times New Roman" w:hAnsi="Times New Roman" w:cs="Times New Roman"/>
          <w:sz w:val="28"/>
          <w:szCs w:val="28"/>
        </w:rPr>
        <w:t xml:space="preserve"> лишь часть (как </w:t>
      </w:r>
      <w:proofErr w:type="gramStart"/>
      <w:r w:rsidRPr="008B2502">
        <w:rPr>
          <w:rFonts w:ascii="Times New Roman" w:hAnsi="Times New Roman" w:cs="Times New Roman"/>
          <w:sz w:val="28"/>
          <w:szCs w:val="28"/>
        </w:rPr>
        <w:t>правило</w:t>
      </w:r>
      <w:proofErr w:type="gramEnd"/>
      <w:r w:rsidRPr="008B2502">
        <w:rPr>
          <w:rFonts w:ascii="Times New Roman" w:hAnsi="Times New Roman" w:cs="Times New Roman"/>
          <w:sz w:val="28"/>
          <w:szCs w:val="28"/>
        </w:rPr>
        <w:t xml:space="preserve"> незначительную) указанной в договоре, а деньги тратятся почти все, которые закреплены в </w:t>
      </w:r>
      <w:r w:rsidR="0023043C" w:rsidRPr="008B2502">
        <w:rPr>
          <w:rFonts w:ascii="Times New Roman" w:hAnsi="Times New Roman" w:cs="Times New Roman"/>
          <w:sz w:val="28"/>
          <w:szCs w:val="28"/>
        </w:rPr>
        <w:t>контракте</w:t>
      </w:r>
      <w:r w:rsidRPr="008B2502">
        <w:rPr>
          <w:rFonts w:ascii="Times New Roman" w:hAnsi="Times New Roman" w:cs="Times New Roman"/>
          <w:sz w:val="28"/>
          <w:szCs w:val="28"/>
        </w:rPr>
        <w:t xml:space="preserve"> (и которые соответс</w:t>
      </w:r>
      <w:r w:rsidR="0023043C" w:rsidRPr="008B2502">
        <w:rPr>
          <w:rFonts w:ascii="Times New Roman" w:hAnsi="Times New Roman" w:cs="Times New Roman"/>
          <w:sz w:val="28"/>
          <w:szCs w:val="28"/>
        </w:rPr>
        <w:t>т</w:t>
      </w:r>
      <w:r w:rsidRPr="008B2502">
        <w:rPr>
          <w:rFonts w:ascii="Times New Roman" w:hAnsi="Times New Roman" w:cs="Times New Roman"/>
          <w:sz w:val="28"/>
          <w:szCs w:val="28"/>
        </w:rPr>
        <w:t xml:space="preserve">вуют ценовому предложению победителя </w:t>
      </w:r>
      <w:r w:rsidR="002F22AC">
        <w:rPr>
          <w:rFonts w:ascii="Times New Roman" w:hAnsi="Times New Roman" w:cs="Times New Roman"/>
          <w:sz w:val="28"/>
          <w:szCs w:val="28"/>
        </w:rPr>
        <w:t>электронного аукциона</w:t>
      </w:r>
      <w:r w:rsidRPr="008B2502">
        <w:rPr>
          <w:rFonts w:ascii="Times New Roman" w:hAnsi="Times New Roman" w:cs="Times New Roman"/>
          <w:sz w:val="28"/>
          <w:szCs w:val="28"/>
        </w:rPr>
        <w:t>).</w:t>
      </w:r>
    </w:p>
    <w:p w:rsidR="00142D9E" w:rsidRDefault="00650792" w:rsidP="00142D9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в начале своего пути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госзакупках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 совершал подобные ошибки</w:t>
      </w:r>
      <w:r w:rsidR="00142D9E">
        <w:rPr>
          <w:rFonts w:ascii="Times New Roman" w:hAnsi="Times New Roman" w:cs="Times New Roman"/>
          <w:sz w:val="28"/>
          <w:szCs w:val="28"/>
        </w:rPr>
        <w:t xml:space="preserve">, однако во время переподготовки для получения сертификата в мае 2012 года автором была прослушана лекция Руководителя </w:t>
      </w:r>
      <w:r w:rsidR="00142D9E" w:rsidRPr="00142D9E">
        <w:rPr>
          <w:rFonts w:ascii="Times New Roman" w:hAnsi="Times New Roman" w:cs="Times New Roman"/>
          <w:sz w:val="28"/>
          <w:szCs w:val="28"/>
        </w:rPr>
        <w:t>Башкортостанского УФАС России</w:t>
      </w:r>
      <w:r w:rsidR="00142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D9E">
        <w:rPr>
          <w:rFonts w:ascii="Times New Roman" w:hAnsi="Times New Roman" w:cs="Times New Roman"/>
          <w:sz w:val="28"/>
          <w:szCs w:val="28"/>
        </w:rPr>
        <w:t>Зульфиры</w:t>
      </w:r>
      <w:proofErr w:type="spellEnd"/>
      <w:r w:rsidR="00142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D9E">
        <w:rPr>
          <w:rFonts w:ascii="Times New Roman" w:hAnsi="Times New Roman" w:cs="Times New Roman"/>
          <w:sz w:val="28"/>
          <w:szCs w:val="28"/>
        </w:rPr>
        <w:t>Хабибулловны</w:t>
      </w:r>
      <w:proofErr w:type="spellEnd"/>
      <w:r w:rsidR="00142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D9E">
        <w:rPr>
          <w:rFonts w:ascii="Times New Roman" w:hAnsi="Times New Roman" w:cs="Times New Roman"/>
          <w:sz w:val="28"/>
          <w:szCs w:val="28"/>
        </w:rPr>
        <w:t>Акбашевой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142D9E">
        <w:rPr>
          <w:rFonts w:ascii="Times New Roman" w:hAnsi="Times New Roman" w:cs="Times New Roman"/>
          <w:sz w:val="28"/>
          <w:szCs w:val="28"/>
        </w:rPr>
        <w:t xml:space="preserve"> В своем выступлении, посвященном недопустимости нарушений</w:t>
      </w:r>
      <w:r w:rsidR="002F22AC">
        <w:rPr>
          <w:rFonts w:ascii="Times New Roman" w:hAnsi="Times New Roman" w:cs="Times New Roman"/>
          <w:sz w:val="28"/>
          <w:szCs w:val="28"/>
        </w:rPr>
        <w:t xml:space="preserve"> и злоупотреблений</w:t>
      </w:r>
      <w:r w:rsidR="00142D9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142D9E">
        <w:rPr>
          <w:rFonts w:ascii="Times New Roman" w:hAnsi="Times New Roman" w:cs="Times New Roman"/>
          <w:sz w:val="28"/>
          <w:szCs w:val="28"/>
        </w:rPr>
        <w:t>госзакупках</w:t>
      </w:r>
      <w:proofErr w:type="spellEnd"/>
      <w:r w:rsidR="00142D9E">
        <w:rPr>
          <w:rFonts w:ascii="Times New Roman" w:hAnsi="Times New Roman" w:cs="Times New Roman"/>
          <w:sz w:val="28"/>
          <w:szCs w:val="28"/>
        </w:rPr>
        <w:t xml:space="preserve"> З.Х. </w:t>
      </w:r>
      <w:proofErr w:type="spellStart"/>
      <w:r w:rsidR="00142D9E">
        <w:rPr>
          <w:rFonts w:ascii="Times New Roman" w:hAnsi="Times New Roman" w:cs="Times New Roman"/>
          <w:sz w:val="28"/>
          <w:szCs w:val="28"/>
        </w:rPr>
        <w:t>Акбашева</w:t>
      </w:r>
      <w:proofErr w:type="spellEnd"/>
      <w:r w:rsidR="00142D9E">
        <w:rPr>
          <w:rFonts w:ascii="Times New Roman" w:hAnsi="Times New Roman" w:cs="Times New Roman"/>
          <w:sz w:val="28"/>
          <w:szCs w:val="28"/>
        </w:rPr>
        <w:t xml:space="preserve"> рекомендовала соблюдать НМЦ </w:t>
      </w:r>
      <w:proofErr w:type="spellStart"/>
      <w:r w:rsidR="00142D9E">
        <w:rPr>
          <w:rFonts w:ascii="Times New Roman" w:hAnsi="Times New Roman" w:cs="Times New Roman"/>
          <w:sz w:val="28"/>
          <w:szCs w:val="28"/>
        </w:rPr>
        <w:t>попозиционно</w:t>
      </w:r>
      <w:proofErr w:type="spellEnd"/>
      <w:r w:rsidR="00142D9E">
        <w:rPr>
          <w:rFonts w:ascii="Times New Roman" w:hAnsi="Times New Roman" w:cs="Times New Roman"/>
          <w:sz w:val="28"/>
          <w:szCs w:val="28"/>
        </w:rPr>
        <w:t xml:space="preserve">, как способ противодействия </w:t>
      </w:r>
      <w:r w:rsidR="002F22AC">
        <w:rPr>
          <w:rFonts w:ascii="Times New Roman" w:hAnsi="Times New Roman" w:cs="Times New Roman"/>
          <w:sz w:val="28"/>
          <w:szCs w:val="28"/>
        </w:rPr>
        <w:t xml:space="preserve">нарушениям и злоупотреблениям в </w:t>
      </w:r>
      <w:proofErr w:type="spellStart"/>
      <w:r w:rsidR="002F22AC">
        <w:rPr>
          <w:rFonts w:ascii="Times New Roman" w:hAnsi="Times New Roman" w:cs="Times New Roman"/>
          <w:sz w:val="28"/>
          <w:szCs w:val="28"/>
        </w:rPr>
        <w:t>госзакупках</w:t>
      </w:r>
      <w:proofErr w:type="spellEnd"/>
      <w:r w:rsidR="002F22AC">
        <w:rPr>
          <w:rFonts w:ascii="Times New Roman" w:hAnsi="Times New Roman" w:cs="Times New Roman"/>
          <w:sz w:val="28"/>
          <w:szCs w:val="28"/>
        </w:rPr>
        <w:t>, эффективному расходованию бюджетных средств</w:t>
      </w:r>
      <w:r w:rsidR="007B0685">
        <w:rPr>
          <w:rFonts w:ascii="Times New Roman" w:hAnsi="Times New Roman" w:cs="Times New Roman"/>
          <w:sz w:val="28"/>
          <w:szCs w:val="28"/>
        </w:rPr>
        <w:t xml:space="preserve">, прозрачности процедур </w:t>
      </w:r>
      <w:proofErr w:type="spellStart"/>
      <w:r w:rsidR="007B0685">
        <w:rPr>
          <w:rFonts w:ascii="Times New Roman" w:hAnsi="Times New Roman" w:cs="Times New Roman"/>
          <w:sz w:val="28"/>
          <w:szCs w:val="28"/>
        </w:rPr>
        <w:t>госзакупок</w:t>
      </w:r>
      <w:proofErr w:type="spellEnd"/>
      <w:r w:rsidR="00142D9E">
        <w:rPr>
          <w:rFonts w:ascii="Times New Roman" w:hAnsi="Times New Roman" w:cs="Times New Roman"/>
          <w:sz w:val="28"/>
          <w:szCs w:val="28"/>
        </w:rPr>
        <w:t>. После лекции автором был проведен мониторинг направленных контрактов, по итогам которого были выявлены случаи применения подобной схемы на стадии заключения договора (</w:t>
      </w:r>
      <w:r w:rsidR="00B95204">
        <w:rPr>
          <w:rFonts w:ascii="Times New Roman" w:hAnsi="Times New Roman" w:cs="Times New Roman"/>
          <w:sz w:val="28"/>
          <w:szCs w:val="28"/>
        </w:rPr>
        <w:t>в дальнейшем часть этих договоров была расторгнута</w:t>
      </w:r>
      <w:r w:rsidR="00142D9E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5204">
        <w:rPr>
          <w:rFonts w:ascii="Times New Roman" w:hAnsi="Times New Roman" w:cs="Times New Roman"/>
          <w:sz w:val="28"/>
          <w:szCs w:val="28"/>
        </w:rPr>
        <w:t>Автор выражает огромную благодарность</w:t>
      </w:r>
      <w:r w:rsidR="00B95204" w:rsidRPr="00B95204">
        <w:t xml:space="preserve"> </w:t>
      </w:r>
      <w:r w:rsidR="00B95204">
        <w:rPr>
          <w:rFonts w:ascii="Times New Roman" w:hAnsi="Times New Roman" w:cs="Times New Roman"/>
          <w:sz w:val="28"/>
          <w:szCs w:val="28"/>
        </w:rPr>
        <w:t xml:space="preserve">З.Х. </w:t>
      </w:r>
      <w:proofErr w:type="spellStart"/>
      <w:r w:rsidR="00B95204">
        <w:rPr>
          <w:rFonts w:ascii="Times New Roman" w:hAnsi="Times New Roman" w:cs="Times New Roman"/>
          <w:sz w:val="28"/>
          <w:szCs w:val="28"/>
        </w:rPr>
        <w:t>Акбашевой</w:t>
      </w:r>
      <w:proofErr w:type="spellEnd"/>
      <w:r w:rsidR="00B95204">
        <w:rPr>
          <w:rFonts w:ascii="Times New Roman" w:hAnsi="Times New Roman" w:cs="Times New Roman"/>
          <w:sz w:val="28"/>
          <w:szCs w:val="28"/>
        </w:rPr>
        <w:t xml:space="preserve"> за своевременное наставление на правильный путь работы в </w:t>
      </w:r>
      <w:proofErr w:type="spellStart"/>
      <w:r w:rsidR="00B95204">
        <w:rPr>
          <w:rFonts w:ascii="Times New Roman" w:hAnsi="Times New Roman" w:cs="Times New Roman"/>
          <w:sz w:val="28"/>
          <w:szCs w:val="28"/>
        </w:rPr>
        <w:t>госзакупках</w:t>
      </w:r>
      <w:proofErr w:type="spellEnd"/>
      <w:r w:rsidR="00B95204">
        <w:rPr>
          <w:rFonts w:ascii="Times New Roman" w:hAnsi="Times New Roman" w:cs="Times New Roman"/>
          <w:sz w:val="28"/>
          <w:szCs w:val="28"/>
        </w:rPr>
        <w:t>.</w:t>
      </w:r>
    </w:p>
    <w:p w:rsidR="00C915BF" w:rsidRDefault="00650792" w:rsidP="00142D9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конкретизации схемы, можно привести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который несет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отвественность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автор</w:t>
      </w:r>
      <w:r w:rsidR="009F3CF1">
        <w:rPr>
          <w:rFonts w:ascii="Times New Roman" w:hAnsi="Times New Roman" w:cs="Times New Roman"/>
          <w:sz w:val="28"/>
          <w:szCs w:val="28"/>
        </w:rPr>
        <w:t xml:space="preserve"> (открытый аукцион в электронной форме </w:t>
      </w:r>
      <w:r w:rsidR="009F3CF1" w:rsidRPr="009F3CF1">
        <w:rPr>
          <w:rFonts w:ascii="Times New Roman" w:hAnsi="Times New Roman" w:cs="Times New Roman"/>
          <w:sz w:val="28"/>
          <w:szCs w:val="28"/>
        </w:rPr>
        <w:t>0101200008112004426</w:t>
      </w:r>
      <w:r w:rsidR="009F3CF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0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"/>
        <w:gridCol w:w="1680"/>
        <w:gridCol w:w="567"/>
        <w:gridCol w:w="851"/>
        <w:gridCol w:w="1559"/>
        <w:gridCol w:w="992"/>
        <w:gridCol w:w="1433"/>
        <w:gridCol w:w="1108"/>
        <w:gridCol w:w="1559"/>
      </w:tblGrid>
      <w:tr w:rsidR="009F3CF1" w:rsidRPr="00650792" w:rsidTr="00B95204">
        <w:trPr>
          <w:trHeight w:val="20"/>
        </w:trPr>
        <w:tc>
          <w:tcPr>
            <w:tcW w:w="5119" w:type="dxa"/>
            <w:gridSpan w:val="5"/>
            <w:shd w:val="clear" w:color="auto" w:fill="auto"/>
          </w:tcPr>
          <w:p w:rsidR="007B0685" w:rsidRPr="007B0685" w:rsidRDefault="009F3CF1" w:rsidP="009F3CF1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0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Рассчет</w:t>
            </w:r>
            <w:proofErr w:type="spellEnd"/>
            <w:r w:rsidRPr="007B0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НМЦ</w:t>
            </w:r>
            <w:r w:rsidRPr="007B0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F3CF1" w:rsidRPr="00650792" w:rsidRDefault="009F3CF1" w:rsidP="009F3CF1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 документации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ОАвЭФ</w:t>
            </w:r>
            <w:proofErr w:type="spellEnd"/>
          </w:p>
        </w:tc>
        <w:tc>
          <w:tcPr>
            <w:tcW w:w="2425" w:type="dxa"/>
            <w:gridSpan w:val="2"/>
            <w:shd w:val="clear" w:color="auto" w:fill="auto"/>
          </w:tcPr>
          <w:p w:rsidR="009F3CF1" w:rsidRDefault="009F3CF1" w:rsidP="009F3CF1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Цены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</w:t>
            </w:r>
            <w:proofErr w:type="gramEnd"/>
          </w:p>
          <w:p w:rsidR="009F3CF1" w:rsidRDefault="009F3CF1" w:rsidP="009F3CF1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заключенного</w:t>
            </w:r>
          </w:p>
          <w:p w:rsidR="009F3CF1" w:rsidRPr="00650792" w:rsidRDefault="009F3CF1" w:rsidP="009F3CF1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договора</w:t>
            </w:r>
          </w:p>
        </w:tc>
        <w:tc>
          <w:tcPr>
            <w:tcW w:w="2667" w:type="dxa"/>
            <w:gridSpan w:val="2"/>
          </w:tcPr>
          <w:p w:rsidR="009F3CF1" w:rsidRDefault="009F3CF1" w:rsidP="009F3CF1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об исполнении договора</w:t>
            </w:r>
          </w:p>
        </w:tc>
      </w:tr>
      <w:tr w:rsidR="009F3CF1" w:rsidRPr="00650792" w:rsidTr="00B95204">
        <w:trPr>
          <w:trHeight w:val="578"/>
        </w:trPr>
        <w:tc>
          <w:tcPr>
            <w:tcW w:w="462" w:type="dxa"/>
            <w:shd w:val="clear" w:color="auto" w:fill="auto"/>
          </w:tcPr>
          <w:p w:rsidR="009F3CF1" w:rsidRPr="00650792" w:rsidRDefault="009F3CF1" w:rsidP="009F3CF1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07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6507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6507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680" w:type="dxa"/>
            <w:shd w:val="clear" w:color="auto" w:fill="auto"/>
          </w:tcPr>
          <w:p w:rsidR="009F3CF1" w:rsidRPr="00650792" w:rsidRDefault="009F3CF1" w:rsidP="009F3CF1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07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</w:tcPr>
          <w:p w:rsidR="009F3CF1" w:rsidRPr="00650792" w:rsidRDefault="009F3CF1" w:rsidP="009F3CF1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07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Потребность, штук</w:t>
            </w:r>
          </w:p>
        </w:tc>
        <w:tc>
          <w:tcPr>
            <w:tcW w:w="851" w:type="dxa"/>
            <w:shd w:val="clear" w:color="auto" w:fill="auto"/>
          </w:tcPr>
          <w:p w:rsidR="009F3CF1" w:rsidRPr="00650792" w:rsidRDefault="009F3CF1" w:rsidP="009F3CF1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07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9F3CF1" w:rsidRPr="00650792" w:rsidRDefault="009F3CF1" w:rsidP="009F3CF1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07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Средняя цена</w:t>
            </w:r>
          </w:p>
        </w:tc>
        <w:tc>
          <w:tcPr>
            <w:tcW w:w="1559" w:type="dxa"/>
            <w:shd w:val="clear" w:color="auto" w:fill="auto"/>
          </w:tcPr>
          <w:p w:rsidR="009F3CF1" w:rsidRPr="00650792" w:rsidRDefault="009F3CF1" w:rsidP="009F3C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НМЦ</w:t>
            </w:r>
          </w:p>
        </w:tc>
        <w:tc>
          <w:tcPr>
            <w:tcW w:w="992" w:type="dxa"/>
            <w:shd w:val="clear" w:color="auto" w:fill="auto"/>
          </w:tcPr>
          <w:p w:rsidR="009F3CF1" w:rsidRPr="00650792" w:rsidRDefault="009F3CF1" w:rsidP="009F3CF1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Цена за единицу</w:t>
            </w:r>
          </w:p>
        </w:tc>
        <w:tc>
          <w:tcPr>
            <w:tcW w:w="1433" w:type="dxa"/>
          </w:tcPr>
          <w:p w:rsidR="009F3CF1" w:rsidRDefault="009F3CF1" w:rsidP="009F3CF1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</w:t>
            </w:r>
          </w:p>
          <w:p w:rsidR="009F3CF1" w:rsidRPr="00650792" w:rsidRDefault="009F3CF1" w:rsidP="009F3CF1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стоимость</w:t>
            </w:r>
          </w:p>
        </w:tc>
        <w:tc>
          <w:tcPr>
            <w:tcW w:w="1108" w:type="dxa"/>
          </w:tcPr>
          <w:p w:rsidR="009F3CF1" w:rsidRDefault="009F3CF1" w:rsidP="009F3CF1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поставлено</w:t>
            </w:r>
          </w:p>
        </w:tc>
        <w:tc>
          <w:tcPr>
            <w:tcW w:w="1559" w:type="dxa"/>
          </w:tcPr>
          <w:p w:rsidR="009F3CF1" w:rsidRDefault="009F3CF1" w:rsidP="009F3CF1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поставлено</w:t>
            </w:r>
          </w:p>
        </w:tc>
      </w:tr>
      <w:tr w:rsidR="009F3CF1" w:rsidRPr="00650792" w:rsidTr="00B95204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62" w:type="dxa"/>
            <w:shd w:val="clear" w:color="auto" w:fill="auto"/>
          </w:tcPr>
          <w:p w:rsidR="009F3CF1" w:rsidRPr="00650792" w:rsidRDefault="009F3CF1" w:rsidP="009F3CF1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07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80" w:type="dxa"/>
            <w:shd w:val="clear" w:color="auto" w:fill="auto"/>
          </w:tcPr>
          <w:p w:rsidR="009F3CF1" w:rsidRPr="00650792" w:rsidRDefault="009F3CF1" w:rsidP="009F3CF1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0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Рассасывающийся </w:t>
            </w:r>
            <w:proofErr w:type="spellStart"/>
            <w:r w:rsidRPr="00650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гемостатический</w:t>
            </w:r>
            <w:proofErr w:type="spellEnd"/>
            <w:r w:rsidRPr="00650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50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монокомпонентный</w:t>
            </w:r>
            <w:proofErr w:type="spellEnd"/>
            <w:r w:rsidRPr="00650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материал</w:t>
            </w:r>
          </w:p>
        </w:tc>
        <w:tc>
          <w:tcPr>
            <w:tcW w:w="567" w:type="dxa"/>
            <w:shd w:val="clear" w:color="auto" w:fill="auto"/>
          </w:tcPr>
          <w:p w:rsidR="009F3CF1" w:rsidRPr="00650792" w:rsidRDefault="009F3CF1" w:rsidP="009F3CF1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07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851" w:type="dxa"/>
            <w:shd w:val="clear" w:color="auto" w:fill="auto"/>
          </w:tcPr>
          <w:p w:rsidR="009F3CF1" w:rsidRPr="00650792" w:rsidRDefault="009F3CF1" w:rsidP="009F3CF1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07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1747,00</w:t>
            </w:r>
          </w:p>
        </w:tc>
        <w:tc>
          <w:tcPr>
            <w:tcW w:w="1559" w:type="dxa"/>
            <w:shd w:val="clear" w:color="auto" w:fill="auto"/>
          </w:tcPr>
          <w:p w:rsidR="009F3CF1" w:rsidRPr="00650792" w:rsidRDefault="009F3CF1" w:rsidP="009F3CF1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07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</w:t>
            </w:r>
            <w:r w:rsidRPr="009F3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507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856,00</w:t>
            </w:r>
          </w:p>
        </w:tc>
        <w:tc>
          <w:tcPr>
            <w:tcW w:w="992" w:type="dxa"/>
            <w:shd w:val="clear" w:color="auto" w:fill="auto"/>
          </w:tcPr>
          <w:p w:rsidR="009F3CF1" w:rsidRPr="00650792" w:rsidRDefault="009F3CF1" w:rsidP="009F3CF1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07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2 067,60</w:t>
            </w:r>
          </w:p>
        </w:tc>
        <w:tc>
          <w:tcPr>
            <w:tcW w:w="1433" w:type="dxa"/>
          </w:tcPr>
          <w:p w:rsidR="009F3CF1" w:rsidRPr="009F3CF1" w:rsidRDefault="009F3CF1" w:rsidP="009F3CF1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3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99 244,80</w:t>
            </w:r>
          </w:p>
        </w:tc>
        <w:tc>
          <w:tcPr>
            <w:tcW w:w="1108" w:type="dxa"/>
          </w:tcPr>
          <w:p w:rsidR="009F3CF1" w:rsidRPr="00435AC9" w:rsidRDefault="009F3CF1" w:rsidP="009F3CF1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9F3CF1" w:rsidRPr="00650792" w:rsidRDefault="009F3CF1" w:rsidP="0051771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5A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99 244,80</w:t>
            </w:r>
          </w:p>
        </w:tc>
      </w:tr>
      <w:tr w:rsidR="009F3CF1" w:rsidRPr="00650792" w:rsidTr="00B95204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62" w:type="dxa"/>
            <w:shd w:val="clear" w:color="auto" w:fill="auto"/>
          </w:tcPr>
          <w:p w:rsidR="009F3CF1" w:rsidRPr="00650792" w:rsidRDefault="009F3CF1" w:rsidP="009F3CF1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07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80" w:type="dxa"/>
            <w:shd w:val="clear" w:color="auto" w:fill="auto"/>
          </w:tcPr>
          <w:p w:rsidR="009F3CF1" w:rsidRPr="00650792" w:rsidRDefault="009F3CF1" w:rsidP="009F3CF1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0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Рассасывающийся </w:t>
            </w:r>
            <w:proofErr w:type="spellStart"/>
            <w:r w:rsidRPr="00650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гемостатический</w:t>
            </w:r>
            <w:proofErr w:type="spellEnd"/>
            <w:r w:rsidRPr="00650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50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монокомпонентный</w:t>
            </w:r>
            <w:proofErr w:type="spellEnd"/>
            <w:r w:rsidRPr="00650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материал</w:t>
            </w:r>
          </w:p>
        </w:tc>
        <w:tc>
          <w:tcPr>
            <w:tcW w:w="567" w:type="dxa"/>
            <w:shd w:val="clear" w:color="auto" w:fill="auto"/>
          </w:tcPr>
          <w:p w:rsidR="009F3CF1" w:rsidRPr="00650792" w:rsidRDefault="009F3CF1" w:rsidP="009F3CF1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07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9F3CF1" w:rsidRPr="00650792" w:rsidRDefault="009F3CF1" w:rsidP="009F3CF1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07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5771,00</w:t>
            </w:r>
          </w:p>
        </w:tc>
        <w:tc>
          <w:tcPr>
            <w:tcW w:w="1559" w:type="dxa"/>
            <w:shd w:val="clear" w:color="auto" w:fill="auto"/>
          </w:tcPr>
          <w:p w:rsidR="009F3CF1" w:rsidRPr="00650792" w:rsidRDefault="009F3CF1" w:rsidP="009F3CF1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07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115</w:t>
            </w:r>
            <w:r w:rsidRPr="009F3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507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420,00</w:t>
            </w:r>
          </w:p>
        </w:tc>
        <w:tc>
          <w:tcPr>
            <w:tcW w:w="992" w:type="dxa"/>
            <w:shd w:val="clear" w:color="auto" w:fill="auto"/>
          </w:tcPr>
          <w:p w:rsidR="009F3CF1" w:rsidRPr="00650792" w:rsidRDefault="009F3CF1" w:rsidP="009F3CF1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07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6 748,60</w:t>
            </w:r>
          </w:p>
        </w:tc>
        <w:tc>
          <w:tcPr>
            <w:tcW w:w="1433" w:type="dxa"/>
          </w:tcPr>
          <w:p w:rsidR="009F3CF1" w:rsidRPr="009F3CF1" w:rsidRDefault="009F3CF1" w:rsidP="009F3CF1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3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134 972,00</w:t>
            </w:r>
          </w:p>
        </w:tc>
        <w:tc>
          <w:tcPr>
            <w:tcW w:w="1108" w:type="dxa"/>
          </w:tcPr>
          <w:p w:rsidR="009F3CF1" w:rsidRPr="00435AC9" w:rsidRDefault="009F3CF1" w:rsidP="009F3CF1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9F3CF1" w:rsidRPr="00650792" w:rsidRDefault="009F3CF1" w:rsidP="0051771C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5A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134 972,00</w:t>
            </w:r>
          </w:p>
        </w:tc>
      </w:tr>
      <w:tr w:rsidR="009F3CF1" w:rsidRPr="00650792" w:rsidTr="00B95204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62" w:type="dxa"/>
            <w:shd w:val="clear" w:color="auto" w:fill="auto"/>
          </w:tcPr>
          <w:p w:rsidR="009F3CF1" w:rsidRPr="00650792" w:rsidRDefault="009F3CF1" w:rsidP="009F3CF1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07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80" w:type="dxa"/>
            <w:shd w:val="clear" w:color="auto" w:fill="auto"/>
          </w:tcPr>
          <w:p w:rsidR="009F3CF1" w:rsidRPr="00650792" w:rsidRDefault="009F3CF1" w:rsidP="009F3CF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650792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>Система хирургическая герметизирующая</w:t>
            </w:r>
          </w:p>
        </w:tc>
        <w:tc>
          <w:tcPr>
            <w:tcW w:w="567" w:type="dxa"/>
            <w:shd w:val="clear" w:color="auto" w:fill="auto"/>
          </w:tcPr>
          <w:p w:rsidR="009F3CF1" w:rsidRPr="00650792" w:rsidRDefault="009F3CF1" w:rsidP="009F3CF1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07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9F3CF1" w:rsidRPr="00650792" w:rsidRDefault="009F3CF1" w:rsidP="009F3CF1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07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18591,00</w:t>
            </w:r>
          </w:p>
        </w:tc>
        <w:tc>
          <w:tcPr>
            <w:tcW w:w="1559" w:type="dxa"/>
            <w:shd w:val="clear" w:color="auto" w:fill="auto"/>
          </w:tcPr>
          <w:p w:rsidR="009F3CF1" w:rsidRPr="00650792" w:rsidRDefault="009F3CF1" w:rsidP="009F3CF1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07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507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182,00</w:t>
            </w:r>
          </w:p>
        </w:tc>
        <w:tc>
          <w:tcPr>
            <w:tcW w:w="992" w:type="dxa"/>
            <w:shd w:val="clear" w:color="auto" w:fill="auto"/>
          </w:tcPr>
          <w:p w:rsidR="009F3CF1" w:rsidRPr="00650792" w:rsidRDefault="009F3CF1" w:rsidP="009F3CF1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07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520,00</w:t>
            </w:r>
          </w:p>
        </w:tc>
        <w:tc>
          <w:tcPr>
            <w:tcW w:w="1433" w:type="dxa"/>
          </w:tcPr>
          <w:p w:rsidR="009F3CF1" w:rsidRPr="00650792" w:rsidRDefault="009F3CF1" w:rsidP="009F3CF1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5A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1 040,00</w:t>
            </w:r>
          </w:p>
        </w:tc>
        <w:tc>
          <w:tcPr>
            <w:tcW w:w="1108" w:type="dxa"/>
          </w:tcPr>
          <w:p w:rsidR="009F3CF1" w:rsidRPr="00435AC9" w:rsidRDefault="009F3CF1" w:rsidP="009F3CF1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3C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1 040,00</w:t>
            </w:r>
          </w:p>
        </w:tc>
        <w:tc>
          <w:tcPr>
            <w:tcW w:w="1559" w:type="dxa"/>
          </w:tcPr>
          <w:p w:rsidR="009F3CF1" w:rsidRPr="00435AC9" w:rsidRDefault="009F3CF1" w:rsidP="009F3CF1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F3CF1" w:rsidRPr="00650792" w:rsidTr="00B95204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62" w:type="dxa"/>
            <w:shd w:val="clear" w:color="auto" w:fill="auto"/>
          </w:tcPr>
          <w:p w:rsidR="009F3CF1" w:rsidRPr="00650792" w:rsidRDefault="009F3CF1" w:rsidP="009F3CF1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65079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680" w:type="dxa"/>
            <w:shd w:val="clear" w:color="auto" w:fill="auto"/>
          </w:tcPr>
          <w:p w:rsidR="009F3CF1" w:rsidRPr="00650792" w:rsidRDefault="009F3CF1" w:rsidP="009F3CF1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650792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Гемостатическая</w:t>
            </w:r>
            <w:proofErr w:type="spellEnd"/>
            <w:r w:rsidRPr="00650792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 xml:space="preserve"> губка </w:t>
            </w:r>
          </w:p>
        </w:tc>
        <w:tc>
          <w:tcPr>
            <w:tcW w:w="567" w:type="dxa"/>
            <w:shd w:val="clear" w:color="auto" w:fill="auto"/>
          </w:tcPr>
          <w:p w:rsidR="009F3CF1" w:rsidRPr="00650792" w:rsidRDefault="009F3CF1" w:rsidP="009F3CF1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65079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9F3CF1" w:rsidRPr="00650792" w:rsidRDefault="009F3CF1" w:rsidP="009F3CF1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07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559" w:type="dxa"/>
            <w:shd w:val="clear" w:color="auto" w:fill="auto"/>
          </w:tcPr>
          <w:p w:rsidR="009F3CF1" w:rsidRPr="00650792" w:rsidRDefault="009F3CF1" w:rsidP="009F3CF1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07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507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992" w:type="dxa"/>
            <w:shd w:val="clear" w:color="auto" w:fill="auto"/>
          </w:tcPr>
          <w:p w:rsidR="009F3CF1" w:rsidRPr="00650792" w:rsidRDefault="009F3CF1" w:rsidP="009F3CF1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5A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433" w:type="dxa"/>
          </w:tcPr>
          <w:p w:rsidR="009F3CF1" w:rsidRPr="00650792" w:rsidRDefault="009F3CF1" w:rsidP="009F3CF1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5A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3 600,00</w:t>
            </w:r>
          </w:p>
        </w:tc>
        <w:tc>
          <w:tcPr>
            <w:tcW w:w="1108" w:type="dxa"/>
          </w:tcPr>
          <w:p w:rsidR="009F3CF1" w:rsidRPr="00435AC9" w:rsidRDefault="009F3CF1" w:rsidP="009F3CF1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9F3CF1" w:rsidRPr="00435AC9" w:rsidRDefault="009F3CF1" w:rsidP="009F3CF1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3C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3 600,00</w:t>
            </w:r>
          </w:p>
        </w:tc>
      </w:tr>
      <w:tr w:rsidR="009F3CF1" w:rsidRPr="00650792" w:rsidTr="00B95204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62" w:type="dxa"/>
            <w:shd w:val="clear" w:color="auto" w:fill="auto"/>
          </w:tcPr>
          <w:p w:rsidR="009F3CF1" w:rsidRPr="00650792" w:rsidRDefault="009F3CF1" w:rsidP="009F3CF1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shd w:val="clear" w:color="auto" w:fill="auto"/>
          </w:tcPr>
          <w:p w:rsidR="009F3CF1" w:rsidRPr="00650792" w:rsidRDefault="009F3CF1" w:rsidP="009F3CF1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07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567" w:type="dxa"/>
            <w:shd w:val="clear" w:color="auto" w:fill="auto"/>
          </w:tcPr>
          <w:p w:rsidR="009F3CF1" w:rsidRPr="00650792" w:rsidRDefault="009F3CF1" w:rsidP="009F3CF1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F3CF1" w:rsidRPr="00650792" w:rsidRDefault="009F3CF1" w:rsidP="009F3CF1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F3CF1" w:rsidRPr="00650792" w:rsidRDefault="009F3CF1" w:rsidP="009F3CF1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07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507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058,00</w:t>
            </w:r>
          </w:p>
        </w:tc>
        <w:tc>
          <w:tcPr>
            <w:tcW w:w="992" w:type="dxa"/>
            <w:shd w:val="clear" w:color="auto" w:fill="auto"/>
          </w:tcPr>
          <w:p w:rsidR="009F3CF1" w:rsidRPr="00650792" w:rsidRDefault="009F3CF1" w:rsidP="009F3CF1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</w:tcPr>
          <w:p w:rsidR="009F3CF1" w:rsidRPr="00650792" w:rsidRDefault="009F3CF1" w:rsidP="009F3CF1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</w:tcPr>
          <w:p w:rsidR="009F3CF1" w:rsidRPr="00650792" w:rsidRDefault="009F3CF1" w:rsidP="009F3CF1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9F3CF1" w:rsidRPr="00650792" w:rsidRDefault="009F3CF1" w:rsidP="009F3CF1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F3CF1" w:rsidRPr="00650792" w:rsidTr="00B95204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6111" w:type="dxa"/>
            <w:gridSpan w:val="6"/>
            <w:shd w:val="clear" w:color="auto" w:fill="auto"/>
          </w:tcPr>
          <w:p w:rsidR="009F3CF1" w:rsidRPr="00B95204" w:rsidRDefault="009F3CF1" w:rsidP="009F3CF1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в заключенном договоре</w:t>
            </w:r>
          </w:p>
        </w:tc>
        <w:tc>
          <w:tcPr>
            <w:tcW w:w="1433" w:type="dxa"/>
          </w:tcPr>
          <w:p w:rsidR="009F3CF1" w:rsidRPr="00B95204" w:rsidRDefault="009F3CF1" w:rsidP="009F3CF1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238 856,80</w:t>
            </w:r>
          </w:p>
        </w:tc>
        <w:tc>
          <w:tcPr>
            <w:tcW w:w="1108" w:type="dxa"/>
          </w:tcPr>
          <w:p w:rsidR="009F3CF1" w:rsidRPr="009F3CF1" w:rsidRDefault="009F3CF1" w:rsidP="009F3CF1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9F3CF1" w:rsidRPr="009F3CF1" w:rsidRDefault="009F3CF1" w:rsidP="009F3CF1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F3CF1" w:rsidRPr="00650792" w:rsidTr="00B95204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544" w:type="dxa"/>
            <w:gridSpan w:val="7"/>
            <w:shd w:val="clear" w:color="auto" w:fill="auto"/>
          </w:tcPr>
          <w:p w:rsidR="009F3CF1" w:rsidRPr="00B95204" w:rsidRDefault="009F3CF1" w:rsidP="009F3CF1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расторжения договора</w:t>
            </w:r>
          </w:p>
        </w:tc>
        <w:tc>
          <w:tcPr>
            <w:tcW w:w="1108" w:type="dxa"/>
          </w:tcPr>
          <w:p w:rsidR="009F3CF1" w:rsidRPr="00B95204" w:rsidRDefault="009F3CF1" w:rsidP="009F3CF1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1 040,00</w:t>
            </w:r>
          </w:p>
        </w:tc>
        <w:tc>
          <w:tcPr>
            <w:tcW w:w="1559" w:type="dxa"/>
          </w:tcPr>
          <w:p w:rsidR="009F3CF1" w:rsidRPr="009F3CF1" w:rsidRDefault="009F3CF1" w:rsidP="009F3CF1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F3CF1" w:rsidRPr="00650792" w:rsidTr="00B95204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8652" w:type="dxa"/>
            <w:gridSpan w:val="8"/>
            <w:shd w:val="clear" w:color="auto" w:fill="auto"/>
          </w:tcPr>
          <w:p w:rsidR="009F3CF1" w:rsidRPr="00B95204" w:rsidRDefault="009F3CF1" w:rsidP="009F3CF1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исполнения </w:t>
            </w:r>
            <w:proofErr w:type="spellStart"/>
            <w:r w:rsidRPr="00B95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догоаора</w:t>
            </w:r>
            <w:proofErr w:type="spellEnd"/>
          </w:p>
        </w:tc>
        <w:tc>
          <w:tcPr>
            <w:tcW w:w="1559" w:type="dxa"/>
          </w:tcPr>
          <w:p w:rsidR="009F3CF1" w:rsidRPr="00B95204" w:rsidRDefault="009F3CF1" w:rsidP="009F3CF1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237 816,80</w:t>
            </w:r>
          </w:p>
        </w:tc>
      </w:tr>
    </w:tbl>
    <w:p w:rsidR="00650792" w:rsidRDefault="009F3CF1" w:rsidP="009F3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указанной таблицы видно, что позиции № 1 и №2 цены на стадии заключения договора превышают НМЦ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попозиционно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за единицу товара. Однако по позиции №3 цена </w:t>
      </w:r>
      <w:r w:rsidR="00942F60">
        <w:rPr>
          <w:rFonts w:ascii="Times New Roman" w:hAnsi="Times New Roman" w:cs="Times New Roman"/>
          <w:sz w:val="28"/>
          <w:szCs w:val="28"/>
        </w:rPr>
        <w:t xml:space="preserve">почти </w:t>
      </w:r>
      <w:r>
        <w:rPr>
          <w:rFonts w:ascii="Times New Roman" w:hAnsi="Times New Roman" w:cs="Times New Roman"/>
          <w:sz w:val="28"/>
          <w:szCs w:val="28"/>
        </w:rPr>
        <w:t>в 3</w:t>
      </w:r>
      <w:r w:rsidR="00942F6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раз ниже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цены, установленной НМЦ</w:t>
      </w:r>
      <w:r w:rsidR="00942F60">
        <w:rPr>
          <w:rFonts w:ascii="Times New Roman" w:hAnsi="Times New Roman" w:cs="Times New Roman"/>
          <w:sz w:val="28"/>
          <w:szCs w:val="28"/>
        </w:rPr>
        <w:t xml:space="preserve"> и в дальнейшем на эту позицию договор был</w:t>
      </w:r>
      <w:proofErr w:type="gramEnd"/>
      <w:r w:rsidR="00942F60">
        <w:rPr>
          <w:rFonts w:ascii="Times New Roman" w:hAnsi="Times New Roman" w:cs="Times New Roman"/>
          <w:sz w:val="28"/>
          <w:szCs w:val="28"/>
        </w:rPr>
        <w:t xml:space="preserve"> расторгнут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42F60">
        <w:rPr>
          <w:rFonts w:ascii="Times New Roman" w:hAnsi="Times New Roman" w:cs="Times New Roman"/>
          <w:sz w:val="28"/>
          <w:szCs w:val="28"/>
        </w:rPr>
        <w:t xml:space="preserve">Сведения доступны на сайте </w:t>
      </w:r>
      <w:r w:rsidR="00942F60" w:rsidRPr="00942F60">
        <w:rPr>
          <w:rFonts w:ascii="Times New Roman" w:hAnsi="Times New Roman" w:cs="Times New Roman"/>
          <w:b/>
          <w:sz w:val="28"/>
          <w:szCs w:val="28"/>
        </w:rPr>
        <w:t>zakupki.gov.ru</w:t>
      </w:r>
      <w:r w:rsidR="00942F60">
        <w:rPr>
          <w:rFonts w:ascii="Times New Roman" w:hAnsi="Times New Roman" w:cs="Times New Roman"/>
          <w:sz w:val="28"/>
          <w:szCs w:val="28"/>
        </w:rPr>
        <w:t>, любой желающий может проверить.</w:t>
      </w:r>
    </w:p>
    <w:p w:rsidR="00650792" w:rsidRDefault="00B95204" w:rsidP="00230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204">
        <w:rPr>
          <w:rFonts w:ascii="Times New Roman" w:hAnsi="Times New Roman" w:cs="Times New Roman"/>
          <w:sz w:val="28"/>
          <w:szCs w:val="28"/>
        </w:rPr>
        <w:t xml:space="preserve">В дальнейшем на сумму </w:t>
      </w:r>
      <w:proofErr w:type="spellStart"/>
      <w:r w:rsidRPr="00B95204">
        <w:rPr>
          <w:rFonts w:ascii="Times New Roman" w:hAnsi="Times New Roman" w:cs="Times New Roman"/>
          <w:sz w:val="28"/>
          <w:szCs w:val="28"/>
        </w:rPr>
        <w:t>непоставленного</w:t>
      </w:r>
      <w:proofErr w:type="spellEnd"/>
      <w:r w:rsidRPr="00B95204">
        <w:rPr>
          <w:rFonts w:ascii="Times New Roman" w:hAnsi="Times New Roman" w:cs="Times New Roman"/>
          <w:sz w:val="28"/>
          <w:szCs w:val="28"/>
        </w:rPr>
        <w:t xml:space="preserve"> товара (невыполненные работы, </w:t>
      </w:r>
      <w:proofErr w:type="spellStart"/>
      <w:r w:rsidRPr="00B95204">
        <w:rPr>
          <w:rFonts w:ascii="Times New Roman" w:hAnsi="Times New Roman" w:cs="Times New Roman"/>
          <w:sz w:val="28"/>
          <w:szCs w:val="28"/>
        </w:rPr>
        <w:t>неоказанные</w:t>
      </w:r>
      <w:proofErr w:type="spellEnd"/>
      <w:r w:rsidRPr="00B95204">
        <w:rPr>
          <w:rFonts w:ascii="Times New Roman" w:hAnsi="Times New Roman" w:cs="Times New Roman"/>
          <w:sz w:val="28"/>
          <w:szCs w:val="28"/>
        </w:rPr>
        <w:t xml:space="preserve"> услуги) делается расторжение по соглашению сторон без штрафов и неустоек. А так как сумма невыполняемого обязательства незначительна то и неустойка незначительна (опять же для соблюдения сроков</w:t>
      </w:r>
      <w:r w:rsidR="007B0685">
        <w:rPr>
          <w:rFonts w:ascii="Times New Roman" w:hAnsi="Times New Roman" w:cs="Times New Roman"/>
          <w:sz w:val="28"/>
          <w:szCs w:val="28"/>
        </w:rPr>
        <w:t xml:space="preserve">, но уже сроков </w:t>
      </w:r>
      <w:r w:rsidR="007B0685">
        <w:rPr>
          <w:rFonts w:ascii="Times New Roman" w:hAnsi="Times New Roman" w:cs="Times New Roman"/>
          <w:sz w:val="28"/>
          <w:szCs w:val="28"/>
        </w:rPr>
        <w:lastRenderedPageBreak/>
        <w:t>исполнения и регистрации сведений в текущем году</w:t>
      </w:r>
      <w:r w:rsidRPr="00B95204">
        <w:rPr>
          <w:rFonts w:ascii="Times New Roman" w:hAnsi="Times New Roman" w:cs="Times New Roman"/>
          <w:sz w:val="28"/>
          <w:szCs w:val="28"/>
        </w:rPr>
        <w:t xml:space="preserve">). В дальнейшем на </w:t>
      </w:r>
      <w:r>
        <w:rPr>
          <w:rFonts w:ascii="Times New Roman" w:hAnsi="Times New Roman" w:cs="Times New Roman"/>
          <w:sz w:val="28"/>
          <w:szCs w:val="28"/>
        </w:rPr>
        <w:t>неисполненные обязательства</w:t>
      </w:r>
      <w:r w:rsidRPr="00B95204">
        <w:rPr>
          <w:rFonts w:ascii="Times New Roman" w:hAnsi="Times New Roman" w:cs="Times New Roman"/>
          <w:sz w:val="28"/>
          <w:szCs w:val="28"/>
        </w:rPr>
        <w:t xml:space="preserve"> снова проводится закупка.</w:t>
      </w:r>
    </w:p>
    <w:p w:rsidR="007B0685" w:rsidRDefault="00B95204" w:rsidP="002F2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Проведению схемы превышения НМЦ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попозиционно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>, по мнению автора также способствует нечеткая формулировка</w:t>
      </w:r>
      <w:r w:rsidRPr="00B95204">
        <w:t xml:space="preserve"> </w:t>
      </w:r>
      <w:r w:rsidRPr="00B95204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95204">
        <w:rPr>
          <w:rFonts w:ascii="Times New Roman" w:hAnsi="Times New Roman" w:cs="Times New Roman"/>
          <w:sz w:val="28"/>
          <w:szCs w:val="28"/>
        </w:rPr>
        <w:t xml:space="preserve"> 6 статьи 34</w:t>
      </w:r>
      <w:r>
        <w:rPr>
          <w:rFonts w:ascii="Times New Roman" w:hAnsi="Times New Roman" w:cs="Times New Roman"/>
          <w:sz w:val="28"/>
          <w:szCs w:val="28"/>
        </w:rPr>
        <w:t xml:space="preserve"> Закона о контрактной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системе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которой закреплено что « </w:t>
      </w:r>
      <w:r w:rsidRPr="00B95204">
        <w:rPr>
          <w:rFonts w:ascii="Times New Roman" w:hAnsi="Times New Roman" w:cs="Times New Roman"/>
          <w:i/>
          <w:sz w:val="28"/>
          <w:szCs w:val="28"/>
        </w:rPr>
        <w:t>В случае просрочки исполнения … обязательств ….. или ненадлежащего исполнения …обязательств, предусмотренных контрактом, заказчик</w:t>
      </w:r>
      <w:r w:rsidRPr="00B95204">
        <w:rPr>
          <w:rFonts w:ascii="Times New Roman" w:hAnsi="Times New Roman" w:cs="Times New Roman"/>
          <w:sz w:val="28"/>
          <w:szCs w:val="28"/>
        </w:rPr>
        <w:t xml:space="preserve"> </w:t>
      </w:r>
      <w:r w:rsidRPr="00B95204">
        <w:rPr>
          <w:rFonts w:ascii="Times New Roman" w:hAnsi="Times New Roman" w:cs="Times New Roman"/>
          <w:b/>
          <w:sz w:val="28"/>
          <w:szCs w:val="28"/>
        </w:rPr>
        <w:t>направляет</w:t>
      </w:r>
      <w:r w:rsidRPr="00B95204">
        <w:rPr>
          <w:rFonts w:ascii="Times New Roman" w:hAnsi="Times New Roman" w:cs="Times New Roman"/>
          <w:sz w:val="28"/>
          <w:szCs w:val="28"/>
        </w:rPr>
        <w:t xml:space="preserve"> </w:t>
      </w:r>
      <w:r w:rsidRPr="00B95204">
        <w:rPr>
          <w:rFonts w:ascii="Times New Roman" w:hAnsi="Times New Roman" w:cs="Times New Roman"/>
          <w:i/>
          <w:sz w:val="28"/>
          <w:szCs w:val="28"/>
        </w:rPr>
        <w:t>поставщику (подрядчику, исполнителю) требование об уплате неустоек (штрафов, пеней)</w:t>
      </w:r>
      <w:r>
        <w:rPr>
          <w:rFonts w:ascii="Times New Roman" w:hAnsi="Times New Roman" w:cs="Times New Roman"/>
          <w:sz w:val="28"/>
          <w:szCs w:val="28"/>
        </w:rPr>
        <w:t xml:space="preserve">». Так как в законе буквально не закреплена обязанность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направлять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вышеуказанное требование, заказчики воспринимают это как право, что является еще одной предпосылкой проведения схемы несоблюдения НМЦ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попозиционно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(и за единицу ТРУ) на стадии исполнения договора, заключенного по итогам электронного аукциона.</w:t>
      </w:r>
      <w:r w:rsidR="002F22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06F3" w:rsidRDefault="004C3E70" w:rsidP="00230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02">
        <w:rPr>
          <w:rFonts w:ascii="Times New Roman" w:hAnsi="Times New Roman" w:cs="Times New Roman"/>
          <w:sz w:val="28"/>
          <w:szCs w:val="28"/>
        </w:rPr>
        <w:t xml:space="preserve">Если говорить о </w:t>
      </w:r>
      <w:proofErr w:type="gramStart"/>
      <w:r w:rsidRPr="008B2502">
        <w:rPr>
          <w:rFonts w:ascii="Times New Roman" w:hAnsi="Times New Roman" w:cs="Times New Roman"/>
          <w:sz w:val="28"/>
          <w:szCs w:val="28"/>
        </w:rPr>
        <w:t>товарах</w:t>
      </w:r>
      <w:proofErr w:type="gramEnd"/>
      <w:r w:rsidRPr="008B2502">
        <w:rPr>
          <w:rFonts w:ascii="Times New Roman" w:hAnsi="Times New Roman" w:cs="Times New Roman"/>
          <w:sz w:val="28"/>
          <w:szCs w:val="28"/>
        </w:rPr>
        <w:t xml:space="preserve"> то тут все понятно.</w:t>
      </w:r>
      <w:r w:rsidR="00070E69" w:rsidRPr="008B2502">
        <w:rPr>
          <w:rFonts w:ascii="Times New Roman" w:hAnsi="Times New Roman" w:cs="Times New Roman"/>
          <w:sz w:val="28"/>
          <w:szCs w:val="28"/>
        </w:rPr>
        <w:t xml:space="preserve"> </w:t>
      </w:r>
      <w:r w:rsidRPr="008B2502">
        <w:rPr>
          <w:rFonts w:ascii="Times New Roman" w:hAnsi="Times New Roman" w:cs="Times New Roman"/>
          <w:sz w:val="28"/>
          <w:szCs w:val="28"/>
        </w:rPr>
        <w:t>Ситуация с услугами намного сложнее</w:t>
      </w:r>
      <w:r w:rsidR="00070E69" w:rsidRPr="008B2502">
        <w:rPr>
          <w:rFonts w:ascii="Times New Roman" w:hAnsi="Times New Roman" w:cs="Times New Roman"/>
          <w:sz w:val="28"/>
          <w:szCs w:val="28"/>
        </w:rPr>
        <w:t>.</w:t>
      </w:r>
      <w:r w:rsidRPr="008B2502">
        <w:rPr>
          <w:rFonts w:ascii="Times New Roman" w:hAnsi="Times New Roman" w:cs="Times New Roman"/>
          <w:sz w:val="28"/>
          <w:szCs w:val="28"/>
        </w:rPr>
        <w:t xml:space="preserve"> </w:t>
      </w:r>
      <w:r w:rsidR="00070E69" w:rsidRPr="008B2502">
        <w:rPr>
          <w:rFonts w:ascii="Times New Roman" w:hAnsi="Times New Roman" w:cs="Times New Roman"/>
          <w:sz w:val="28"/>
          <w:szCs w:val="28"/>
        </w:rPr>
        <w:t>С</w:t>
      </w:r>
      <w:r w:rsidRPr="008B2502">
        <w:rPr>
          <w:rFonts w:ascii="Times New Roman" w:hAnsi="Times New Roman" w:cs="Times New Roman"/>
          <w:sz w:val="28"/>
          <w:szCs w:val="28"/>
        </w:rPr>
        <w:t xml:space="preserve">отни видов </w:t>
      </w:r>
      <w:r w:rsidR="007B0685">
        <w:rPr>
          <w:rFonts w:ascii="Times New Roman" w:hAnsi="Times New Roman" w:cs="Times New Roman"/>
          <w:sz w:val="28"/>
          <w:szCs w:val="28"/>
        </w:rPr>
        <w:t>услуг</w:t>
      </w:r>
      <w:r w:rsidRPr="008B2502">
        <w:rPr>
          <w:rFonts w:ascii="Times New Roman" w:hAnsi="Times New Roman" w:cs="Times New Roman"/>
          <w:sz w:val="28"/>
          <w:szCs w:val="28"/>
        </w:rPr>
        <w:t xml:space="preserve"> оформляются одной строкой расчета НМЦ. Естественно соблюдать НМЦ </w:t>
      </w:r>
      <w:proofErr w:type="spellStart"/>
      <w:r w:rsidRPr="008B2502">
        <w:rPr>
          <w:rFonts w:ascii="Times New Roman" w:hAnsi="Times New Roman" w:cs="Times New Roman"/>
          <w:sz w:val="28"/>
          <w:szCs w:val="28"/>
        </w:rPr>
        <w:t>попозиционно</w:t>
      </w:r>
      <w:proofErr w:type="spellEnd"/>
      <w:r w:rsidRPr="008B2502">
        <w:rPr>
          <w:rFonts w:ascii="Times New Roman" w:hAnsi="Times New Roman" w:cs="Times New Roman"/>
          <w:sz w:val="28"/>
          <w:szCs w:val="28"/>
        </w:rPr>
        <w:t xml:space="preserve"> (или за единицу услуги</w:t>
      </w:r>
      <w:r w:rsidR="00070E69" w:rsidRPr="008B2502">
        <w:rPr>
          <w:rFonts w:ascii="Times New Roman" w:hAnsi="Times New Roman" w:cs="Times New Roman"/>
          <w:sz w:val="28"/>
          <w:szCs w:val="28"/>
        </w:rPr>
        <w:t>) на стадии заключения договора</w:t>
      </w:r>
      <w:r w:rsidRPr="008B2502">
        <w:rPr>
          <w:rFonts w:ascii="Times New Roman" w:hAnsi="Times New Roman" w:cs="Times New Roman"/>
          <w:sz w:val="28"/>
          <w:szCs w:val="28"/>
        </w:rPr>
        <w:t xml:space="preserve"> не представляется возможным</w:t>
      </w:r>
      <w:r w:rsidR="007B0685">
        <w:rPr>
          <w:rFonts w:ascii="Times New Roman" w:hAnsi="Times New Roman" w:cs="Times New Roman"/>
          <w:sz w:val="28"/>
          <w:szCs w:val="28"/>
        </w:rPr>
        <w:t>, так как ее просто нет</w:t>
      </w:r>
      <w:r w:rsidRPr="008B2502">
        <w:rPr>
          <w:rFonts w:ascii="Times New Roman" w:hAnsi="Times New Roman" w:cs="Times New Roman"/>
          <w:sz w:val="28"/>
          <w:szCs w:val="28"/>
        </w:rPr>
        <w:t>.</w:t>
      </w:r>
      <w:r w:rsidR="00F706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685" w:rsidRDefault="007B0685" w:rsidP="00230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C3E70" w:rsidRPr="008B2502">
        <w:rPr>
          <w:rFonts w:ascii="Times New Roman" w:hAnsi="Times New Roman" w:cs="Times New Roman"/>
          <w:sz w:val="28"/>
          <w:szCs w:val="28"/>
        </w:rPr>
        <w:t>читаю необходимым по услугам тоже все просчитывать и ставить цену за единицу Услуги и за каждую работу (речь об ЭА)</w:t>
      </w:r>
      <w:r w:rsidR="00070E69" w:rsidRPr="008B2502">
        <w:rPr>
          <w:rFonts w:ascii="Times New Roman" w:hAnsi="Times New Roman" w:cs="Times New Roman"/>
          <w:sz w:val="28"/>
          <w:szCs w:val="28"/>
        </w:rPr>
        <w:t xml:space="preserve">. В дальнейшем это позволит четко принимать услуги и четко </w:t>
      </w:r>
      <w:proofErr w:type="spellStart"/>
      <w:r w:rsidR="00070E69" w:rsidRPr="008B2502">
        <w:rPr>
          <w:rFonts w:ascii="Times New Roman" w:hAnsi="Times New Roman" w:cs="Times New Roman"/>
          <w:sz w:val="28"/>
          <w:szCs w:val="28"/>
        </w:rPr>
        <w:t>высталять</w:t>
      </w:r>
      <w:proofErr w:type="spellEnd"/>
      <w:r w:rsidR="00070E69" w:rsidRPr="008B2502">
        <w:rPr>
          <w:rFonts w:ascii="Times New Roman" w:hAnsi="Times New Roman" w:cs="Times New Roman"/>
          <w:sz w:val="28"/>
          <w:szCs w:val="28"/>
        </w:rPr>
        <w:t xml:space="preserve"> неустойки от стоимости неисполненного обязательства.</w:t>
      </w:r>
      <w:r w:rsidR="00F706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Зачастую принимающая сторона подписывает акт на всю сумму, так как просто выделить неисполненное обязательство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предстваляется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возможным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1AFB" w:rsidRDefault="00F706F3" w:rsidP="00230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полноты картины считаю необходимым прикреплять к договору в качестве приложения образец акта оказанных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котором будут указываться цены за единицу оказанной услуги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попозиционно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 основании опыта соблюдения НМЦ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попозиционно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(и за единицу ТРУ)</w:t>
      </w:r>
      <w:r w:rsidR="007B0685">
        <w:rPr>
          <w:rFonts w:ascii="Times New Roman" w:hAnsi="Times New Roman" w:cs="Times New Roman"/>
          <w:sz w:val="28"/>
          <w:szCs w:val="28"/>
        </w:rPr>
        <w:t xml:space="preserve"> по товарам</w:t>
      </w:r>
      <w:r>
        <w:rPr>
          <w:rFonts w:ascii="Times New Roman" w:hAnsi="Times New Roman" w:cs="Times New Roman"/>
          <w:sz w:val="28"/>
          <w:szCs w:val="28"/>
        </w:rPr>
        <w:t xml:space="preserve"> автором была подготовлена документация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ОАвЭФ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AFB" w:rsidRPr="008B2502">
        <w:rPr>
          <w:rFonts w:ascii="Times New Roman" w:hAnsi="Times New Roman" w:cs="Times New Roman"/>
          <w:b/>
          <w:sz w:val="28"/>
          <w:szCs w:val="28"/>
        </w:rPr>
        <w:t>0101200008113003632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06F3">
        <w:rPr>
          <w:rFonts w:ascii="Times New Roman" w:hAnsi="Times New Roman" w:cs="Times New Roman"/>
          <w:sz w:val="28"/>
          <w:szCs w:val="28"/>
        </w:rPr>
        <w:t xml:space="preserve">(доступна на сайте zakupki.gov.ru). </w:t>
      </w:r>
      <w:r w:rsidR="00F11AFB" w:rsidRPr="00F706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Четкие цены за единицу </w:t>
      </w:r>
      <w:proofErr w:type="spellStart"/>
      <w:r w:rsidR="007B0685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расчете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НМЦ в данном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ОАвЭФ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 дальнейшее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заключении договора, повлекло обязательство оказания каждой единицы услуги по ценам, указанным в договоре, и составления акта оказанных услуг с конкретными ценами.</w:t>
      </w:r>
    </w:p>
    <w:p w:rsidR="00F706F3" w:rsidRDefault="00F706F3" w:rsidP="00230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конкретная цена за единицу услуги позволяет выставлять неустойку за просрочку ее исполнения.</w:t>
      </w:r>
    </w:p>
    <w:p w:rsidR="00F706F3" w:rsidRDefault="00F706F3" w:rsidP="00230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6F3">
        <w:rPr>
          <w:rFonts w:ascii="Times New Roman" w:hAnsi="Times New Roman" w:cs="Times New Roman"/>
          <w:sz w:val="28"/>
          <w:szCs w:val="28"/>
        </w:rPr>
        <w:t xml:space="preserve">Говоря о соблюдении НМЦ </w:t>
      </w:r>
      <w:proofErr w:type="spellStart"/>
      <w:r w:rsidRPr="00F706F3">
        <w:rPr>
          <w:rFonts w:ascii="Times New Roman" w:hAnsi="Times New Roman" w:cs="Times New Roman"/>
          <w:sz w:val="28"/>
          <w:szCs w:val="28"/>
        </w:rPr>
        <w:t>попозиционно</w:t>
      </w:r>
      <w:proofErr w:type="spellEnd"/>
      <w:r w:rsidRPr="00F706F3">
        <w:rPr>
          <w:rFonts w:ascii="Times New Roman" w:hAnsi="Times New Roman" w:cs="Times New Roman"/>
          <w:sz w:val="28"/>
          <w:szCs w:val="28"/>
        </w:rPr>
        <w:t xml:space="preserve"> (и за единицу ТРУ) считаю необходимым затронуть и саму процедуру расчета НМЦ. На сегодняшний момент основным нормативно-правовым актом по расчету НМЦ по конкурентным процедурам в рамках Закона о контрактной системе является 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</w:t>
      </w:r>
      <w:r w:rsidR="0028368E">
        <w:rPr>
          <w:rFonts w:ascii="Times New Roman" w:hAnsi="Times New Roman" w:cs="Times New Roman"/>
          <w:sz w:val="28"/>
          <w:szCs w:val="28"/>
        </w:rPr>
        <w:t>.</w:t>
      </w:r>
    </w:p>
    <w:p w:rsidR="0028368E" w:rsidRDefault="0028368E" w:rsidP="00230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приказ позволяет прописать в расчете НМЦ наименования товара и количество за каждую позицию, однако не обязывает соблюдать четкое соответствие номеров расчета НМЦ, номерам, указанным в описании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обьекта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закупки (в техническом задании)</w:t>
      </w:r>
      <w:r w:rsidR="0017381C">
        <w:rPr>
          <w:rFonts w:ascii="Times New Roman" w:hAnsi="Times New Roman" w:cs="Times New Roman"/>
          <w:sz w:val="28"/>
          <w:szCs w:val="28"/>
        </w:rPr>
        <w:t xml:space="preserve">. В дальнейшем такой расчет не позволяет четко </w:t>
      </w:r>
      <w:r w:rsidR="0017381C">
        <w:rPr>
          <w:rFonts w:ascii="Times New Roman" w:hAnsi="Times New Roman" w:cs="Times New Roman"/>
          <w:sz w:val="28"/>
          <w:szCs w:val="28"/>
        </w:rPr>
        <w:lastRenderedPageBreak/>
        <w:t>идентифицировать конкретную позицию</w:t>
      </w:r>
      <w:r w:rsidR="0017381C" w:rsidRPr="0017381C">
        <w:t xml:space="preserve"> </w:t>
      </w:r>
      <w:r w:rsidR="0017381C" w:rsidRPr="0017381C">
        <w:rPr>
          <w:rFonts w:ascii="Times New Roman" w:hAnsi="Times New Roman" w:cs="Times New Roman"/>
          <w:sz w:val="28"/>
          <w:szCs w:val="28"/>
        </w:rPr>
        <w:t xml:space="preserve">описании </w:t>
      </w:r>
      <w:proofErr w:type="spellStart"/>
      <w:r w:rsidR="0017381C" w:rsidRPr="0017381C">
        <w:rPr>
          <w:rFonts w:ascii="Times New Roman" w:hAnsi="Times New Roman" w:cs="Times New Roman"/>
          <w:sz w:val="28"/>
          <w:szCs w:val="28"/>
        </w:rPr>
        <w:t>обьекта</w:t>
      </w:r>
      <w:proofErr w:type="spellEnd"/>
      <w:r w:rsidR="0017381C" w:rsidRPr="0017381C">
        <w:rPr>
          <w:rFonts w:ascii="Times New Roman" w:hAnsi="Times New Roman" w:cs="Times New Roman"/>
          <w:sz w:val="28"/>
          <w:szCs w:val="28"/>
        </w:rPr>
        <w:t xml:space="preserve"> закупки (техническо</w:t>
      </w:r>
      <w:r w:rsidR="0017381C">
        <w:rPr>
          <w:rFonts w:ascii="Times New Roman" w:hAnsi="Times New Roman" w:cs="Times New Roman"/>
          <w:sz w:val="28"/>
          <w:szCs w:val="28"/>
        </w:rPr>
        <w:t>го</w:t>
      </w:r>
      <w:r w:rsidR="0017381C" w:rsidRPr="0017381C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17381C">
        <w:rPr>
          <w:rFonts w:ascii="Times New Roman" w:hAnsi="Times New Roman" w:cs="Times New Roman"/>
          <w:sz w:val="28"/>
          <w:szCs w:val="28"/>
        </w:rPr>
        <w:t>я</w:t>
      </w:r>
      <w:r w:rsidR="0017381C" w:rsidRPr="0017381C">
        <w:rPr>
          <w:rFonts w:ascii="Times New Roman" w:hAnsi="Times New Roman" w:cs="Times New Roman"/>
          <w:sz w:val="28"/>
          <w:szCs w:val="28"/>
        </w:rPr>
        <w:t>)</w:t>
      </w:r>
      <w:r w:rsidR="0017381C">
        <w:rPr>
          <w:rFonts w:ascii="Times New Roman" w:hAnsi="Times New Roman" w:cs="Times New Roman"/>
          <w:sz w:val="28"/>
          <w:szCs w:val="28"/>
        </w:rPr>
        <w:t xml:space="preserve"> и позицию НМЦ, что в свою очередь не позволяет соблюдать НМЦ </w:t>
      </w:r>
      <w:proofErr w:type="spellStart"/>
      <w:r w:rsidR="0017381C">
        <w:rPr>
          <w:rFonts w:ascii="Times New Roman" w:hAnsi="Times New Roman" w:cs="Times New Roman"/>
          <w:sz w:val="28"/>
          <w:szCs w:val="28"/>
        </w:rPr>
        <w:t>попозиционно</w:t>
      </w:r>
      <w:proofErr w:type="spellEnd"/>
      <w:r w:rsidR="0017381C">
        <w:rPr>
          <w:rFonts w:ascii="Times New Roman" w:hAnsi="Times New Roman" w:cs="Times New Roman"/>
          <w:sz w:val="28"/>
          <w:szCs w:val="28"/>
        </w:rPr>
        <w:t xml:space="preserve"> (и за единицу ТРУ) и позволит недобросовестным победителям электронного аукциона доказывать что максимальная </w:t>
      </w:r>
      <w:proofErr w:type="gramStart"/>
      <w:r w:rsidR="0017381C">
        <w:rPr>
          <w:rFonts w:ascii="Times New Roman" w:hAnsi="Times New Roman" w:cs="Times New Roman"/>
          <w:sz w:val="28"/>
          <w:szCs w:val="28"/>
        </w:rPr>
        <w:t>цена</w:t>
      </w:r>
      <w:proofErr w:type="gramEnd"/>
      <w:r w:rsidR="0017381C">
        <w:rPr>
          <w:rFonts w:ascii="Times New Roman" w:hAnsi="Times New Roman" w:cs="Times New Roman"/>
          <w:sz w:val="28"/>
          <w:szCs w:val="28"/>
        </w:rPr>
        <w:t xml:space="preserve"> указанная в НМЦ именно за то наименование товара, которое такие поставщики хотят поставить. Для наглядности можно привести пример такого расчета НМЦ</w:t>
      </w:r>
    </w:p>
    <w:tbl>
      <w:tblPr>
        <w:tblW w:w="10124" w:type="dxa"/>
        <w:jc w:val="right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2704"/>
        <w:gridCol w:w="7420"/>
      </w:tblGrid>
      <w:tr w:rsidR="0028368E" w:rsidRPr="0028368E" w:rsidTr="0028368E">
        <w:trPr>
          <w:trHeight w:val="20"/>
          <w:tblCellSpacing w:w="15" w:type="dxa"/>
          <w:jc w:val="right"/>
        </w:trPr>
        <w:tc>
          <w:tcPr>
            <w:tcW w:w="26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368E" w:rsidRPr="0028368E" w:rsidRDefault="0028368E" w:rsidP="002836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3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Основные характеристики объекта закупки</w:t>
            </w:r>
          </w:p>
        </w:tc>
        <w:tc>
          <w:tcPr>
            <w:tcW w:w="737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368E" w:rsidRPr="0028368E" w:rsidRDefault="0028368E" w:rsidP="002836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283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</w:t>
            </w:r>
            <w:proofErr w:type="gramEnd"/>
            <w:r w:rsidRPr="00283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Технического задания</w:t>
            </w:r>
          </w:p>
        </w:tc>
      </w:tr>
      <w:tr w:rsidR="0028368E" w:rsidRPr="0028368E" w:rsidTr="0028368E">
        <w:trPr>
          <w:trHeight w:val="20"/>
          <w:tblCellSpacing w:w="15" w:type="dxa"/>
          <w:jc w:val="right"/>
        </w:trPr>
        <w:tc>
          <w:tcPr>
            <w:tcW w:w="26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368E" w:rsidRPr="0028368E" w:rsidRDefault="0028368E" w:rsidP="002836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3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Используемый метод определения НМЦ гражданско-правового договора с обоснованием:</w:t>
            </w:r>
          </w:p>
        </w:tc>
        <w:tc>
          <w:tcPr>
            <w:tcW w:w="73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368E" w:rsidRPr="0028368E" w:rsidRDefault="0028368E" w:rsidP="0028368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8368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метод сопоставимых рыночных цен (анализ рынка)</w:t>
            </w:r>
          </w:p>
          <w:p w:rsidR="0028368E" w:rsidRPr="0028368E" w:rsidRDefault="0028368E" w:rsidP="002836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8368E" w:rsidRPr="0028368E" w:rsidTr="0028368E">
        <w:trPr>
          <w:trHeight w:val="20"/>
          <w:tblCellSpacing w:w="15" w:type="dxa"/>
          <w:jc w:val="right"/>
        </w:trPr>
        <w:tc>
          <w:tcPr>
            <w:tcW w:w="26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368E" w:rsidRPr="0028368E" w:rsidRDefault="0028368E" w:rsidP="002836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3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 НМЦ</w:t>
            </w:r>
          </w:p>
          <w:p w:rsidR="0028368E" w:rsidRPr="0028368E" w:rsidRDefault="0028368E" w:rsidP="002836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3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Коммерческое предложение № 1, исх. №</w:t>
            </w:r>
            <w:r w:rsidR="007B06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  <w:r w:rsidRPr="00283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 12.05.2016г.</w:t>
            </w:r>
          </w:p>
          <w:p w:rsidR="0028368E" w:rsidRPr="0028368E" w:rsidRDefault="0028368E" w:rsidP="002836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3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Коммерческое предложение № 2, исх. №</w:t>
            </w:r>
            <w:r w:rsidR="007B06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  <w:r w:rsidRPr="00283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 12.05.2016г.</w:t>
            </w:r>
          </w:p>
          <w:p w:rsidR="0028368E" w:rsidRPr="0028368E" w:rsidRDefault="0028368E" w:rsidP="007B06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3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Коммерческое предложение № 3, исх. №</w:t>
            </w:r>
            <w:r w:rsidR="007B06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  <w:r w:rsidRPr="00283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 12.05.2016г.</w:t>
            </w:r>
          </w:p>
        </w:tc>
        <w:tc>
          <w:tcPr>
            <w:tcW w:w="73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368E" w:rsidRPr="0028368E" w:rsidRDefault="0028368E" w:rsidP="002836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3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целях </w:t>
            </w:r>
            <w:proofErr w:type="gramStart"/>
            <w:r w:rsidRPr="00283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определения однородности совокупности значений выявленных цен</w:t>
            </w:r>
            <w:proofErr w:type="gramEnd"/>
            <w:r w:rsidRPr="00283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определим коэффициент вариации</w:t>
            </w:r>
          </w:p>
          <w:p w:rsidR="0028368E" w:rsidRPr="0028368E" w:rsidRDefault="0028368E" w:rsidP="002836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3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Среднее значение цены </w:t>
            </w:r>
            <w:proofErr w:type="gramStart"/>
            <w:r w:rsidRPr="00283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–р</w:t>
            </w:r>
            <w:proofErr w:type="gramEnd"/>
            <w:r w:rsidRPr="00283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уб.</w:t>
            </w:r>
          </w:p>
          <w:p w:rsidR="0028368E" w:rsidRPr="0028368E" w:rsidRDefault="0028368E" w:rsidP="002836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3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Среднее квадратичное отклонение </w:t>
            </w:r>
            <w:proofErr w:type="gramStart"/>
            <w:r w:rsidRPr="00283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–К</w:t>
            </w:r>
            <w:proofErr w:type="gramEnd"/>
            <w:r w:rsidRPr="00283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оэффициент вариации – 1,34% - совокупность цен принимается однородной.</w:t>
            </w:r>
          </w:p>
          <w:p w:rsidR="0028368E" w:rsidRPr="0028368E" w:rsidRDefault="0028368E" w:rsidP="002836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283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bookmarkStart w:id="1" w:name="OLE_LINK5"/>
            <w:bookmarkStart w:id="2" w:name="OLE_LINK6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Игла</w:t>
            </w:r>
          </w:p>
          <w:p w:rsidR="0028368E" w:rsidRPr="0028368E" w:rsidRDefault="0028368E" w:rsidP="002836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3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НМЦ</w:t>
            </w:r>
            <w:r w:rsidRPr="0028368E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РЫН</w:t>
            </w:r>
            <w:r w:rsidRPr="00283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Pr="00283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/3*Σ(1*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9 000,00</w:t>
            </w:r>
            <w:r w:rsidRPr="00283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+1*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10 000,00</w:t>
            </w:r>
            <w:r w:rsidRPr="00283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+1*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11 000,00</w:t>
            </w:r>
            <w:r w:rsidRPr="00283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)=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10 000,00</w:t>
            </w:r>
            <w:r w:rsidRPr="00283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руб.</w:t>
            </w:r>
            <w:bookmarkEnd w:id="1"/>
            <w:bookmarkEnd w:id="2"/>
          </w:p>
          <w:p w:rsidR="0028368E" w:rsidRPr="0028368E" w:rsidRDefault="0028368E" w:rsidP="002836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3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Игла</w:t>
            </w:r>
          </w:p>
          <w:p w:rsidR="0028368E" w:rsidRDefault="0028368E" w:rsidP="002836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3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НМЦРЫН=10/3*Σ(1*9 000,00+1*10 000,00+1*11 000,00)= 10 000,00 руб.</w:t>
            </w:r>
          </w:p>
          <w:p w:rsidR="0028368E" w:rsidRDefault="0028368E" w:rsidP="002836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283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Игла</w:t>
            </w:r>
          </w:p>
          <w:p w:rsidR="0028368E" w:rsidRDefault="0028368E" w:rsidP="002836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3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НМЦРЫН=10/3*Σ(1*9 000,00+1*10 000,00+1*11 000,00)= 10 000,00 руб.</w:t>
            </w:r>
          </w:p>
          <w:p w:rsidR="0028368E" w:rsidRPr="0028368E" w:rsidRDefault="0028368E" w:rsidP="002836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283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Игла</w:t>
            </w:r>
          </w:p>
          <w:p w:rsidR="0028368E" w:rsidRDefault="0028368E" w:rsidP="002836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3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НМЦРЫН=10/3*Σ(1*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1000,00</w:t>
            </w:r>
            <w:r w:rsidRPr="00283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+1*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283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000,00+1*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283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000,00)=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283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000,00 руб.</w:t>
            </w:r>
          </w:p>
          <w:p w:rsidR="0028368E" w:rsidRPr="0028368E" w:rsidRDefault="0028368E" w:rsidP="002836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283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Игла</w:t>
            </w:r>
          </w:p>
          <w:p w:rsidR="0028368E" w:rsidRDefault="0028368E" w:rsidP="002836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3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НМЦРЫН=10/3*Σ(1*1000,00+1*2 000,00+1*3000,00)= 2 000,00 руб.</w:t>
            </w:r>
          </w:p>
          <w:p w:rsidR="0028368E" w:rsidRPr="0028368E" w:rsidRDefault="0028368E" w:rsidP="002836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283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Игла</w:t>
            </w:r>
          </w:p>
          <w:p w:rsidR="0028368E" w:rsidRDefault="0028368E" w:rsidP="002836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3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НМЦРЫН=10/3*Σ(1*1000,00+1*2 000,00+1*3000,00)= 2 000,00 руб.</w:t>
            </w:r>
          </w:p>
          <w:p w:rsidR="0028368E" w:rsidRPr="0028368E" w:rsidRDefault="0028368E" w:rsidP="002836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3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ИТОГО: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36 000,00</w:t>
            </w:r>
            <w:r w:rsidRPr="00283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руб.</w:t>
            </w:r>
          </w:p>
          <w:p w:rsidR="0028368E" w:rsidRPr="0028368E" w:rsidRDefault="0028368E" w:rsidP="002836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8368E" w:rsidRPr="0028368E" w:rsidRDefault="0028368E" w:rsidP="002836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28368E" w:rsidRPr="0028368E" w:rsidTr="0028368E">
        <w:trPr>
          <w:trHeight w:val="20"/>
          <w:tblCellSpacing w:w="15" w:type="dxa"/>
          <w:jc w:val="right"/>
        </w:trPr>
        <w:tc>
          <w:tcPr>
            <w:tcW w:w="26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368E" w:rsidRPr="0028368E" w:rsidRDefault="0028368E" w:rsidP="002836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368E" w:rsidRPr="0028368E" w:rsidRDefault="0028368E" w:rsidP="002836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36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подготовки обоснования НМЦ: 08.06.2016</w:t>
            </w:r>
          </w:p>
        </w:tc>
      </w:tr>
    </w:tbl>
    <w:p w:rsidR="0028368E" w:rsidRDefault="0017381C" w:rsidP="00230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из вышепри</w:t>
      </w:r>
      <w:r w:rsidR="00A83F4D">
        <w:rPr>
          <w:rFonts w:ascii="Times New Roman" w:hAnsi="Times New Roman" w:cs="Times New Roman"/>
          <w:sz w:val="28"/>
          <w:szCs w:val="28"/>
        </w:rPr>
        <w:t>веденного примера непонятна ч</w:t>
      </w:r>
      <w:r>
        <w:rPr>
          <w:rFonts w:ascii="Times New Roman" w:hAnsi="Times New Roman" w:cs="Times New Roman"/>
          <w:sz w:val="28"/>
          <w:szCs w:val="28"/>
        </w:rPr>
        <w:t>еткая максимальная цена за единицу товара, что в свою очередь по вышеуказанно</w:t>
      </w:r>
      <w:r w:rsidR="00A83F4D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расчет</w:t>
      </w:r>
      <w:r w:rsidR="00A83F4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НМЦ, </w:t>
      </w:r>
      <w:r w:rsidR="00A83F4D">
        <w:rPr>
          <w:rFonts w:ascii="Times New Roman" w:hAnsi="Times New Roman" w:cs="Times New Roman"/>
          <w:sz w:val="28"/>
          <w:szCs w:val="28"/>
        </w:rPr>
        <w:t xml:space="preserve">вполне </w:t>
      </w:r>
      <w:r>
        <w:rPr>
          <w:rFonts w:ascii="Times New Roman" w:hAnsi="Times New Roman" w:cs="Times New Roman"/>
          <w:sz w:val="28"/>
          <w:szCs w:val="28"/>
        </w:rPr>
        <w:t>может привести к нижеприведенн</w:t>
      </w:r>
      <w:r w:rsidR="00A83F4D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цен</w:t>
      </w:r>
      <w:r w:rsidR="00A83F4D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в спецификации</w:t>
      </w:r>
      <w:r w:rsidR="00A83F4D">
        <w:rPr>
          <w:rFonts w:ascii="Times New Roman" w:hAnsi="Times New Roman" w:cs="Times New Roman"/>
          <w:sz w:val="28"/>
          <w:szCs w:val="28"/>
        </w:rPr>
        <w:t xml:space="preserve"> Договора, если не будет падения или за одну из </w:t>
      </w:r>
      <w:proofErr w:type="gramStart"/>
      <w:r w:rsidR="00A83F4D">
        <w:rPr>
          <w:rFonts w:ascii="Times New Roman" w:hAnsi="Times New Roman" w:cs="Times New Roman"/>
          <w:sz w:val="28"/>
          <w:szCs w:val="28"/>
        </w:rPr>
        <w:t>позиций</w:t>
      </w:r>
      <w:proofErr w:type="gramEnd"/>
      <w:r w:rsidR="00A83F4D">
        <w:rPr>
          <w:rFonts w:ascii="Times New Roman" w:hAnsi="Times New Roman" w:cs="Times New Roman"/>
          <w:sz w:val="28"/>
          <w:szCs w:val="28"/>
        </w:rPr>
        <w:t xml:space="preserve"> если падение будет и если просто соблюдать НМЦ </w:t>
      </w:r>
      <w:proofErr w:type="spellStart"/>
      <w:r w:rsidR="00A83F4D">
        <w:rPr>
          <w:rFonts w:ascii="Times New Roman" w:hAnsi="Times New Roman" w:cs="Times New Roman"/>
          <w:sz w:val="28"/>
          <w:szCs w:val="28"/>
        </w:rPr>
        <w:t>попозиционно</w:t>
      </w:r>
      <w:proofErr w:type="spellEnd"/>
      <w:r w:rsidR="00A83F4D">
        <w:rPr>
          <w:rFonts w:ascii="Times New Roman" w:hAnsi="Times New Roman" w:cs="Times New Roman"/>
          <w:sz w:val="28"/>
          <w:szCs w:val="28"/>
        </w:rPr>
        <w:t>, без соблюдения цен за единицу ТРУ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1"/>
        <w:gridCol w:w="1440"/>
        <w:gridCol w:w="659"/>
        <w:gridCol w:w="1185"/>
        <w:gridCol w:w="658"/>
        <w:gridCol w:w="1314"/>
        <w:gridCol w:w="812"/>
        <w:gridCol w:w="1417"/>
        <w:gridCol w:w="1843"/>
      </w:tblGrid>
      <w:tr w:rsidR="0017381C" w:rsidRPr="0017381C" w:rsidTr="0017381C">
        <w:trPr>
          <w:trHeight w:val="510"/>
        </w:trPr>
        <w:tc>
          <w:tcPr>
            <w:tcW w:w="561" w:type="dxa"/>
            <w:vMerge w:val="restart"/>
            <w:shd w:val="clear" w:color="auto" w:fill="auto"/>
          </w:tcPr>
          <w:p w:rsidR="0017381C" w:rsidRPr="0017381C" w:rsidRDefault="0017381C" w:rsidP="00173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381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17381C">
              <w:rPr>
                <w:rFonts w:ascii="Times New Roman" w:eastAsia="Calibri" w:hAnsi="Times New Roman" w:cs="Times New Roman"/>
                <w:sz w:val="16"/>
                <w:szCs w:val="16"/>
              </w:rPr>
              <w:t>п</w:t>
            </w:r>
            <w:proofErr w:type="gramEnd"/>
            <w:r w:rsidRPr="0017381C">
              <w:rPr>
                <w:rFonts w:ascii="Times New Roman" w:eastAsia="Calibri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17381C" w:rsidRPr="0017381C" w:rsidRDefault="0017381C" w:rsidP="00173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381C">
              <w:rPr>
                <w:rFonts w:ascii="Times New Roman" w:eastAsia="Calibri" w:hAnsi="Times New Roman" w:cs="Times New Roman"/>
                <w:sz w:val="16"/>
                <w:szCs w:val="16"/>
              </w:rPr>
              <w:t>Наименование товара, с указанием товарного знака (при его наличии)</w:t>
            </w:r>
          </w:p>
          <w:p w:rsidR="0017381C" w:rsidRPr="0017381C" w:rsidRDefault="0017381C" w:rsidP="00173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381C">
              <w:rPr>
                <w:rFonts w:ascii="Times New Roman" w:eastAsia="Calibri" w:hAnsi="Times New Roman" w:cs="Times New Roman"/>
                <w:sz w:val="16"/>
                <w:szCs w:val="16"/>
              </w:rPr>
              <w:t>Наименование производителя товара и  места происхождения товара</w:t>
            </w:r>
          </w:p>
        </w:tc>
        <w:tc>
          <w:tcPr>
            <w:tcW w:w="659" w:type="dxa"/>
            <w:vMerge w:val="restart"/>
            <w:textDirection w:val="btLr"/>
          </w:tcPr>
          <w:p w:rsidR="0017381C" w:rsidRPr="0017381C" w:rsidRDefault="0017381C" w:rsidP="0017381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381C">
              <w:rPr>
                <w:rFonts w:ascii="Times New Roman" w:eastAsia="Calibri" w:hAnsi="Times New Roman" w:cs="Times New Roman"/>
                <w:sz w:val="16"/>
                <w:szCs w:val="16"/>
              </w:rPr>
              <w:t>Код продукции по ОКПД</w:t>
            </w:r>
            <w:proofErr w:type="gramStart"/>
            <w:r w:rsidRPr="0017381C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3157" w:type="dxa"/>
            <w:gridSpan w:val="3"/>
            <w:shd w:val="clear" w:color="auto" w:fill="auto"/>
          </w:tcPr>
          <w:p w:rsidR="0017381C" w:rsidRPr="0017381C" w:rsidRDefault="0017381C" w:rsidP="00173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381C">
              <w:rPr>
                <w:rFonts w:ascii="Times New Roman" w:eastAsia="Calibri" w:hAnsi="Times New Roman" w:cs="Times New Roman"/>
                <w:sz w:val="16"/>
                <w:szCs w:val="16"/>
              </w:rPr>
              <w:t>Характеристика товара</w:t>
            </w:r>
          </w:p>
        </w:tc>
        <w:tc>
          <w:tcPr>
            <w:tcW w:w="812" w:type="dxa"/>
            <w:vMerge w:val="restart"/>
          </w:tcPr>
          <w:p w:rsidR="0017381C" w:rsidRPr="0017381C" w:rsidRDefault="0017381C" w:rsidP="00173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381C">
              <w:rPr>
                <w:rFonts w:ascii="Times New Roman" w:eastAsia="Calibri" w:hAnsi="Times New Roman" w:cs="Times New Roman"/>
                <w:sz w:val="16"/>
                <w:szCs w:val="16"/>
              </w:rPr>
              <w:t>Кол-во шт.</w:t>
            </w:r>
          </w:p>
        </w:tc>
        <w:tc>
          <w:tcPr>
            <w:tcW w:w="1417" w:type="dxa"/>
            <w:vMerge w:val="restart"/>
          </w:tcPr>
          <w:p w:rsidR="0017381C" w:rsidRPr="0017381C" w:rsidRDefault="0017381C" w:rsidP="00173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381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Цена за ед. </w:t>
            </w:r>
            <w:proofErr w:type="spellStart"/>
            <w:r w:rsidRPr="0017381C">
              <w:rPr>
                <w:rFonts w:ascii="Times New Roman" w:eastAsia="Calibri" w:hAnsi="Times New Roman" w:cs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843" w:type="dxa"/>
            <w:vMerge w:val="restart"/>
          </w:tcPr>
          <w:p w:rsidR="0017381C" w:rsidRPr="0017381C" w:rsidRDefault="0017381C" w:rsidP="0017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381C">
              <w:rPr>
                <w:rFonts w:ascii="Times New Roman" w:eastAsia="Calibri" w:hAnsi="Times New Roman" w:cs="Times New Roman"/>
                <w:sz w:val="16"/>
                <w:szCs w:val="16"/>
              </w:rPr>
              <w:t>Стоимость руб.</w:t>
            </w:r>
          </w:p>
        </w:tc>
      </w:tr>
      <w:tr w:rsidR="0017381C" w:rsidRPr="0017381C" w:rsidTr="0017381C">
        <w:trPr>
          <w:trHeight w:val="510"/>
        </w:trPr>
        <w:tc>
          <w:tcPr>
            <w:tcW w:w="561" w:type="dxa"/>
            <w:vMerge/>
            <w:shd w:val="clear" w:color="auto" w:fill="auto"/>
          </w:tcPr>
          <w:p w:rsidR="0017381C" w:rsidRPr="0017381C" w:rsidRDefault="0017381C" w:rsidP="00173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17381C" w:rsidRPr="0017381C" w:rsidRDefault="0017381C" w:rsidP="00173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vMerge/>
          </w:tcPr>
          <w:p w:rsidR="0017381C" w:rsidRPr="0017381C" w:rsidRDefault="0017381C" w:rsidP="00173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5" w:type="dxa"/>
            <w:shd w:val="clear" w:color="auto" w:fill="auto"/>
          </w:tcPr>
          <w:p w:rsidR="0017381C" w:rsidRPr="0017381C" w:rsidRDefault="0017381C" w:rsidP="00173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381C">
              <w:rPr>
                <w:rFonts w:ascii="Times New Roman" w:eastAsia="Calibri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58" w:type="dxa"/>
            <w:shd w:val="clear" w:color="auto" w:fill="auto"/>
            <w:noWrap/>
          </w:tcPr>
          <w:p w:rsidR="0017381C" w:rsidRPr="0017381C" w:rsidRDefault="0017381C" w:rsidP="00173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381C">
              <w:rPr>
                <w:rFonts w:ascii="Times New Roman" w:eastAsia="Calibri" w:hAnsi="Times New Roman" w:cs="Times New Roman"/>
                <w:sz w:val="16"/>
                <w:szCs w:val="16"/>
              </w:rPr>
              <w:t>Ед. изм.</w:t>
            </w:r>
          </w:p>
        </w:tc>
        <w:tc>
          <w:tcPr>
            <w:tcW w:w="1314" w:type="dxa"/>
            <w:shd w:val="clear" w:color="auto" w:fill="auto"/>
            <w:noWrap/>
          </w:tcPr>
          <w:p w:rsidR="0017381C" w:rsidRPr="0017381C" w:rsidRDefault="0017381C" w:rsidP="00173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381C">
              <w:rPr>
                <w:rFonts w:ascii="Times New Roman" w:eastAsia="Calibri" w:hAnsi="Times New Roman" w:cs="Times New Roman"/>
                <w:sz w:val="16"/>
                <w:szCs w:val="16"/>
              </w:rPr>
              <w:t>значение показателя</w:t>
            </w:r>
          </w:p>
        </w:tc>
        <w:tc>
          <w:tcPr>
            <w:tcW w:w="812" w:type="dxa"/>
            <w:vMerge/>
          </w:tcPr>
          <w:p w:rsidR="0017381C" w:rsidRPr="0017381C" w:rsidRDefault="0017381C" w:rsidP="00173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7381C" w:rsidRPr="0017381C" w:rsidRDefault="0017381C" w:rsidP="00173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17381C" w:rsidRPr="0017381C" w:rsidRDefault="0017381C" w:rsidP="0017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A83F4D" w:rsidRPr="0017381C" w:rsidTr="0017381C">
        <w:trPr>
          <w:trHeight w:val="188"/>
        </w:trPr>
        <w:tc>
          <w:tcPr>
            <w:tcW w:w="561" w:type="dxa"/>
            <w:vMerge w:val="restart"/>
            <w:shd w:val="clear" w:color="auto" w:fill="auto"/>
          </w:tcPr>
          <w:p w:rsidR="00A83F4D" w:rsidRPr="0017381C" w:rsidRDefault="00A83F4D" w:rsidP="0017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A83F4D" w:rsidRPr="0017381C" w:rsidRDefault="00A83F4D" w:rsidP="0017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Игла</w:t>
            </w:r>
          </w:p>
        </w:tc>
        <w:tc>
          <w:tcPr>
            <w:tcW w:w="659" w:type="dxa"/>
            <w:vMerge w:val="restart"/>
          </w:tcPr>
          <w:p w:rsidR="00A83F4D" w:rsidRPr="0017381C" w:rsidRDefault="00A83F4D" w:rsidP="0017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vMerge w:val="restart"/>
            <w:shd w:val="clear" w:color="auto" w:fill="auto"/>
          </w:tcPr>
          <w:p w:rsidR="00A83F4D" w:rsidRPr="0017381C" w:rsidRDefault="00A83F4D" w:rsidP="0017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  <w:vMerge w:val="restart"/>
            <w:shd w:val="clear" w:color="auto" w:fill="auto"/>
            <w:noWrap/>
          </w:tcPr>
          <w:p w:rsidR="00A83F4D" w:rsidRPr="0017381C" w:rsidRDefault="00A83F4D" w:rsidP="0017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vMerge w:val="restart"/>
            <w:shd w:val="clear" w:color="auto" w:fill="auto"/>
            <w:noWrap/>
          </w:tcPr>
          <w:p w:rsidR="00A83F4D" w:rsidRPr="0017381C" w:rsidRDefault="00A83F4D" w:rsidP="0017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2" w:type="dxa"/>
          </w:tcPr>
          <w:p w:rsidR="00A83F4D" w:rsidRPr="0017381C" w:rsidRDefault="00A83F4D" w:rsidP="0017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A83F4D" w:rsidRPr="0017381C" w:rsidRDefault="00A83F4D" w:rsidP="0030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9 </w:t>
            </w:r>
            <w:r w:rsidR="00300F3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843" w:type="dxa"/>
          </w:tcPr>
          <w:p w:rsidR="00A83F4D" w:rsidRPr="0017381C" w:rsidRDefault="00A83F4D" w:rsidP="0030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83F4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9 </w:t>
            </w:r>
            <w:r w:rsidR="00300F3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</w:t>
            </w:r>
            <w:r w:rsidRPr="00A83F4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10,00</w:t>
            </w:r>
          </w:p>
        </w:tc>
      </w:tr>
      <w:tr w:rsidR="00A83F4D" w:rsidRPr="0017381C" w:rsidTr="0017381C">
        <w:trPr>
          <w:trHeight w:val="188"/>
        </w:trPr>
        <w:tc>
          <w:tcPr>
            <w:tcW w:w="561" w:type="dxa"/>
            <w:vMerge/>
            <w:shd w:val="clear" w:color="auto" w:fill="auto"/>
          </w:tcPr>
          <w:p w:rsidR="00A83F4D" w:rsidRPr="0017381C" w:rsidRDefault="00A83F4D" w:rsidP="0017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A83F4D" w:rsidRDefault="00A83F4D" w:rsidP="0017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9" w:type="dxa"/>
            <w:vMerge/>
          </w:tcPr>
          <w:p w:rsidR="00A83F4D" w:rsidRPr="0017381C" w:rsidRDefault="00A83F4D" w:rsidP="0017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A83F4D" w:rsidRPr="0017381C" w:rsidRDefault="00A83F4D" w:rsidP="0017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  <w:vMerge/>
            <w:shd w:val="clear" w:color="auto" w:fill="auto"/>
            <w:noWrap/>
          </w:tcPr>
          <w:p w:rsidR="00A83F4D" w:rsidRPr="0017381C" w:rsidRDefault="00A83F4D" w:rsidP="0017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vMerge/>
            <w:shd w:val="clear" w:color="auto" w:fill="auto"/>
            <w:noWrap/>
          </w:tcPr>
          <w:p w:rsidR="00A83F4D" w:rsidRPr="0017381C" w:rsidRDefault="00A83F4D" w:rsidP="0017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2" w:type="dxa"/>
          </w:tcPr>
          <w:p w:rsidR="00A83F4D" w:rsidRDefault="00A83F4D" w:rsidP="0017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</w:tcPr>
          <w:p w:rsidR="00A83F4D" w:rsidRDefault="00A83F4D" w:rsidP="0017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843" w:type="dxa"/>
          </w:tcPr>
          <w:p w:rsidR="00A83F4D" w:rsidRPr="0017381C" w:rsidRDefault="00A83F4D" w:rsidP="0017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90,00</w:t>
            </w:r>
          </w:p>
        </w:tc>
      </w:tr>
      <w:tr w:rsidR="00300F38" w:rsidRPr="0017381C" w:rsidTr="0017381C">
        <w:trPr>
          <w:trHeight w:val="188"/>
        </w:trPr>
        <w:tc>
          <w:tcPr>
            <w:tcW w:w="561" w:type="dxa"/>
            <w:vMerge w:val="restart"/>
            <w:shd w:val="clear" w:color="auto" w:fill="auto"/>
          </w:tcPr>
          <w:p w:rsidR="00300F38" w:rsidRPr="0017381C" w:rsidRDefault="00300F38" w:rsidP="0017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300F38" w:rsidRDefault="00300F38" w:rsidP="0017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Игла</w:t>
            </w:r>
          </w:p>
        </w:tc>
        <w:tc>
          <w:tcPr>
            <w:tcW w:w="659" w:type="dxa"/>
            <w:vMerge w:val="restart"/>
          </w:tcPr>
          <w:p w:rsidR="00300F38" w:rsidRPr="0017381C" w:rsidRDefault="00300F38" w:rsidP="0017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vMerge w:val="restart"/>
            <w:shd w:val="clear" w:color="auto" w:fill="auto"/>
          </w:tcPr>
          <w:p w:rsidR="00300F38" w:rsidRPr="0017381C" w:rsidRDefault="00300F38" w:rsidP="0017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  <w:vMerge w:val="restart"/>
            <w:shd w:val="clear" w:color="auto" w:fill="auto"/>
            <w:noWrap/>
          </w:tcPr>
          <w:p w:rsidR="00300F38" w:rsidRPr="0017381C" w:rsidRDefault="00300F38" w:rsidP="0017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vMerge w:val="restart"/>
            <w:shd w:val="clear" w:color="auto" w:fill="auto"/>
            <w:noWrap/>
          </w:tcPr>
          <w:p w:rsidR="00300F38" w:rsidRPr="0017381C" w:rsidRDefault="00300F38" w:rsidP="0017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2" w:type="dxa"/>
          </w:tcPr>
          <w:p w:rsidR="00300F38" w:rsidRPr="0017381C" w:rsidRDefault="00300F38" w:rsidP="0051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300F38" w:rsidRPr="0017381C" w:rsidRDefault="00300F38" w:rsidP="0051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9 910,00</w:t>
            </w:r>
          </w:p>
        </w:tc>
        <w:tc>
          <w:tcPr>
            <w:tcW w:w="1843" w:type="dxa"/>
          </w:tcPr>
          <w:p w:rsidR="00300F38" w:rsidRPr="0017381C" w:rsidRDefault="00300F38" w:rsidP="0051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83F4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</w:t>
            </w:r>
            <w:r w:rsidRPr="00A83F4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10,00</w:t>
            </w:r>
          </w:p>
        </w:tc>
      </w:tr>
      <w:tr w:rsidR="00300F38" w:rsidRPr="0017381C" w:rsidTr="0017381C">
        <w:trPr>
          <w:trHeight w:val="188"/>
        </w:trPr>
        <w:tc>
          <w:tcPr>
            <w:tcW w:w="561" w:type="dxa"/>
            <w:vMerge/>
            <w:shd w:val="clear" w:color="auto" w:fill="auto"/>
          </w:tcPr>
          <w:p w:rsidR="00300F38" w:rsidRPr="0017381C" w:rsidRDefault="00300F38" w:rsidP="0017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300F38" w:rsidRDefault="00300F38" w:rsidP="0017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9" w:type="dxa"/>
            <w:vMerge/>
          </w:tcPr>
          <w:p w:rsidR="00300F38" w:rsidRPr="0017381C" w:rsidRDefault="00300F38" w:rsidP="0017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300F38" w:rsidRPr="0017381C" w:rsidRDefault="00300F38" w:rsidP="0017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  <w:vMerge/>
            <w:shd w:val="clear" w:color="auto" w:fill="auto"/>
            <w:noWrap/>
          </w:tcPr>
          <w:p w:rsidR="00300F38" w:rsidRPr="0017381C" w:rsidRDefault="00300F38" w:rsidP="0017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vMerge/>
            <w:shd w:val="clear" w:color="auto" w:fill="auto"/>
            <w:noWrap/>
          </w:tcPr>
          <w:p w:rsidR="00300F38" w:rsidRPr="0017381C" w:rsidRDefault="00300F38" w:rsidP="0017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2" w:type="dxa"/>
          </w:tcPr>
          <w:p w:rsidR="00300F38" w:rsidRDefault="00300F38" w:rsidP="0051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</w:tcPr>
          <w:p w:rsidR="00300F38" w:rsidRDefault="00300F38" w:rsidP="0051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843" w:type="dxa"/>
          </w:tcPr>
          <w:p w:rsidR="00300F38" w:rsidRPr="0017381C" w:rsidRDefault="00300F38" w:rsidP="0051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90,00</w:t>
            </w:r>
          </w:p>
        </w:tc>
      </w:tr>
      <w:tr w:rsidR="00300F38" w:rsidRPr="0017381C" w:rsidTr="0017381C">
        <w:trPr>
          <w:trHeight w:val="188"/>
        </w:trPr>
        <w:tc>
          <w:tcPr>
            <w:tcW w:w="561" w:type="dxa"/>
            <w:vMerge w:val="restart"/>
            <w:shd w:val="clear" w:color="auto" w:fill="auto"/>
          </w:tcPr>
          <w:p w:rsidR="00300F38" w:rsidRPr="0017381C" w:rsidRDefault="00300F38" w:rsidP="0017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300F38" w:rsidRPr="0017381C" w:rsidRDefault="00300F38" w:rsidP="0051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Игла</w:t>
            </w:r>
          </w:p>
        </w:tc>
        <w:tc>
          <w:tcPr>
            <w:tcW w:w="659" w:type="dxa"/>
            <w:vMerge w:val="restart"/>
          </w:tcPr>
          <w:p w:rsidR="00300F38" w:rsidRPr="0017381C" w:rsidRDefault="00300F38" w:rsidP="0017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vMerge w:val="restart"/>
            <w:shd w:val="clear" w:color="auto" w:fill="auto"/>
          </w:tcPr>
          <w:p w:rsidR="00300F38" w:rsidRPr="0017381C" w:rsidRDefault="00300F38" w:rsidP="0017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  <w:vMerge w:val="restart"/>
            <w:shd w:val="clear" w:color="auto" w:fill="auto"/>
            <w:noWrap/>
          </w:tcPr>
          <w:p w:rsidR="00300F38" w:rsidRPr="0017381C" w:rsidRDefault="00300F38" w:rsidP="0017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vMerge w:val="restart"/>
            <w:shd w:val="clear" w:color="auto" w:fill="auto"/>
            <w:noWrap/>
          </w:tcPr>
          <w:p w:rsidR="00300F38" w:rsidRPr="0017381C" w:rsidRDefault="00300F38" w:rsidP="0017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2" w:type="dxa"/>
          </w:tcPr>
          <w:p w:rsidR="00300F38" w:rsidRPr="0017381C" w:rsidRDefault="00300F38" w:rsidP="0051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300F38" w:rsidRPr="0017381C" w:rsidRDefault="00300F38" w:rsidP="0051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9 910,00</w:t>
            </w:r>
          </w:p>
        </w:tc>
        <w:tc>
          <w:tcPr>
            <w:tcW w:w="1843" w:type="dxa"/>
          </w:tcPr>
          <w:p w:rsidR="00300F38" w:rsidRPr="0017381C" w:rsidRDefault="00300F38" w:rsidP="0051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83F4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</w:t>
            </w:r>
            <w:r w:rsidRPr="00A83F4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10,00</w:t>
            </w:r>
          </w:p>
        </w:tc>
      </w:tr>
      <w:tr w:rsidR="00300F38" w:rsidRPr="0017381C" w:rsidTr="0017381C">
        <w:trPr>
          <w:trHeight w:val="188"/>
        </w:trPr>
        <w:tc>
          <w:tcPr>
            <w:tcW w:w="561" w:type="dxa"/>
            <w:vMerge/>
            <w:shd w:val="clear" w:color="auto" w:fill="auto"/>
          </w:tcPr>
          <w:p w:rsidR="00300F38" w:rsidRPr="0017381C" w:rsidRDefault="00300F38" w:rsidP="0017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300F38" w:rsidRDefault="00300F38" w:rsidP="0017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9" w:type="dxa"/>
            <w:vMerge/>
          </w:tcPr>
          <w:p w:rsidR="00300F38" w:rsidRPr="0017381C" w:rsidRDefault="00300F38" w:rsidP="0017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300F38" w:rsidRPr="0017381C" w:rsidRDefault="00300F38" w:rsidP="0017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  <w:vMerge/>
            <w:shd w:val="clear" w:color="auto" w:fill="auto"/>
            <w:noWrap/>
          </w:tcPr>
          <w:p w:rsidR="00300F38" w:rsidRPr="0017381C" w:rsidRDefault="00300F38" w:rsidP="0017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vMerge/>
            <w:shd w:val="clear" w:color="auto" w:fill="auto"/>
            <w:noWrap/>
          </w:tcPr>
          <w:p w:rsidR="00300F38" w:rsidRPr="0017381C" w:rsidRDefault="00300F38" w:rsidP="0017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2" w:type="dxa"/>
          </w:tcPr>
          <w:p w:rsidR="00300F38" w:rsidRDefault="00300F38" w:rsidP="0051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</w:tcPr>
          <w:p w:rsidR="00300F38" w:rsidRDefault="00300F38" w:rsidP="0051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843" w:type="dxa"/>
          </w:tcPr>
          <w:p w:rsidR="00300F38" w:rsidRPr="0017381C" w:rsidRDefault="00300F38" w:rsidP="0051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90,00</w:t>
            </w:r>
          </w:p>
        </w:tc>
      </w:tr>
      <w:tr w:rsidR="00A83F4D" w:rsidRPr="0017381C" w:rsidTr="0017381C">
        <w:trPr>
          <w:trHeight w:val="188"/>
        </w:trPr>
        <w:tc>
          <w:tcPr>
            <w:tcW w:w="561" w:type="dxa"/>
            <w:vMerge w:val="restart"/>
            <w:shd w:val="clear" w:color="auto" w:fill="auto"/>
          </w:tcPr>
          <w:p w:rsidR="00A83F4D" w:rsidRPr="0017381C" w:rsidRDefault="00A83F4D" w:rsidP="0017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A83F4D" w:rsidRDefault="00A83F4D" w:rsidP="0051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Игла</w:t>
            </w:r>
          </w:p>
        </w:tc>
        <w:tc>
          <w:tcPr>
            <w:tcW w:w="659" w:type="dxa"/>
            <w:vMerge w:val="restart"/>
          </w:tcPr>
          <w:p w:rsidR="00A83F4D" w:rsidRPr="0017381C" w:rsidRDefault="00A83F4D" w:rsidP="0017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vMerge w:val="restart"/>
            <w:shd w:val="clear" w:color="auto" w:fill="auto"/>
          </w:tcPr>
          <w:p w:rsidR="00A83F4D" w:rsidRPr="0017381C" w:rsidRDefault="00A83F4D" w:rsidP="0017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  <w:vMerge w:val="restart"/>
            <w:shd w:val="clear" w:color="auto" w:fill="auto"/>
            <w:noWrap/>
          </w:tcPr>
          <w:p w:rsidR="00A83F4D" w:rsidRPr="0017381C" w:rsidRDefault="00A83F4D" w:rsidP="0017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vMerge w:val="restart"/>
            <w:shd w:val="clear" w:color="auto" w:fill="auto"/>
            <w:noWrap/>
          </w:tcPr>
          <w:p w:rsidR="00A83F4D" w:rsidRPr="0017381C" w:rsidRDefault="00A83F4D" w:rsidP="0017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2" w:type="dxa"/>
          </w:tcPr>
          <w:p w:rsidR="00A83F4D" w:rsidRPr="0017381C" w:rsidRDefault="00A83F4D" w:rsidP="0051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A83F4D" w:rsidRPr="0017381C" w:rsidRDefault="00A83F4D" w:rsidP="0030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1 </w:t>
            </w:r>
            <w:r w:rsidR="00300F3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843" w:type="dxa"/>
          </w:tcPr>
          <w:p w:rsidR="00A83F4D" w:rsidRPr="0017381C" w:rsidRDefault="00A83F4D" w:rsidP="0030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1 </w:t>
            </w:r>
            <w:r w:rsidR="00300F3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10,00</w:t>
            </w:r>
          </w:p>
        </w:tc>
      </w:tr>
      <w:tr w:rsidR="00A83F4D" w:rsidRPr="0017381C" w:rsidTr="0017381C">
        <w:trPr>
          <w:trHeight w:val="188"/>
        </w:trPr>
        <w:tc>
          <w:tcPr>
            <w:tcW w:w="561" w:type="dxa"/>
            <w:vMerge/>
            <w:shd w:val="clear" w:color="auto" w:fill="auto"/>
          </w:tcPr>
          <w:p w:rsidR="00A83F4D" w:rsidRPr="0017381C" w:rsidRDefault="00A83F4D" w:rsidP="0017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A83F4D" w:rsidRDefault="00A83F4D" w:rsidP="0017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9" w:type="dxa"/>
            <w:vMerge/>
          </w:tcPr>
          <w:p w:rsidR="00A83F4D" w:rsidRPr="0017381C" w:rsidRDefault="00A83F4D" w:rsidP="0017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A83F4D" w:rsidRPr="0017381C" w:rsidRDefault="00A83F4D" w:rsidP="0017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  <w:vMerge/>
            <w:shd w:val="clear" w:color="auto" w:fill="auto"/>
            <w:noWrap/>
          </w:tcPr>
          <w:p w:rsidR="00A83F4D" w:rsidRPr="0017381C" w:rsidRDefault="00A83F4D" w:rsidP="0017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vMerge/>
            <w:shd w:val="clear" w:color="auto" w:fill="auto"/>
            <w:noWrap/>
          </w:tcPr>
          <w:p w:rsidR="00A83F4D" w:rsidRPr="0017381C" w:rsidRDefault="00A83F4D" w:rsidP="0017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2" w:type="dxa"/>
          </w:tcPr>
          <w:p w:rsidR="00A83F4D" w:rsidRDefault="00A83F4D" w:rsidP="0051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</w:tcPr>
          <w:p w:rsidR="00A83F4D" w:rsidRDefault="00A83F4D" w:rsidP="0051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843" w:type="dxa"/>
          </w:tcPr>
          <w:p w:rsidR="00A83F4D" w:rsidRDefault="00A83F4D" w:rsidP="0051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90,00</w:t>
            </w:r>
          </w:p>
        </w:tc>
      </w:tr>
      <w:tr w:rsidR="00300F38" w:rsidRPr="0017381C" w:rsidTr="0017381C">
        <w:trPr>
          <w:trHeight w:val="188"/>
        </w:trPr>
        <w:tc>
          <w:tcPr>
            <w:tcW w:w="561" w:type="dxa"/>
            <w:vMerge w:val="restart"/>
            <w:shd w:val="clear" w:color="auto" w:fill="auto"/>
          </w:tcPr>
          <w:p w:rsidR="00300F38" w:rsidRPr="0017381C" w:rsidRDefault="00300F38" w:rsidP="0017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300F38" w:rsidRPr="0017381C" w:rsidRDefault="00300F38" w:rsidP="0051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Игла</w:t>
            </w:r>
          </w:p>
        </w:tc>
        <w:tc>
          <w:tcPr>
            <w:tcW w:w="659" w:type="dxa"/>
            <w:vMerge w:val="restart"/>
          </w:tcPr>
          <w:p w:rsidR="00300F38" w:rsidRPr="0017381C" w:rsidRDefault="00300F38" w:rsidP="0017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vMerge w:val="restart"/>
            <w:shd w:val="clear" w:color="auto" w:fill="auto"/>
          </w:tcPr>
          <w:p w:rsidR="00300F38" w:rsidRPr="0017381C" w:rsidRDefault="00300F38" w:rsidP="0017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  <w:vMerge w:val="restart"/>
            <w:shd w:val="clear" w:color="auto" w:fill="auto"/>
            <w:noWrap/>
          </w:tcPr>
          <w:p w:rsidR="00300F38" w:rsidRPr="0017381C" w:rsidRDefault="00300F38" w:rsidP="0017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vMerge w:val="restart"/>
            <w:shd w:val="clear" w:color="auto" w:fill="auto"/>
            <w:noWrap/>
          </w:tcPr>
          <w:p w:rsidR="00300F38" w:rsidRPr="0017381C" w:rsidRDefault="00300F38" w:rsidP="0017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2" w:type="dxa"/>
          </w:tcPr>
          <w:p w:rsidR="00300F38" w:rsidRPr="0017381C" w:rsidRDefault="00300F38" w:rsidP="0051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300F38" w:rsidRPr="0017381C" w:rsidRDefault="00300F38" w:rsidP="0051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1 910,00</w:t>
            </w:r>
          </w:p>
        </w:tc>
        <w:tc>
          <w:tcPr>
            <w:tcW w:w="1843" w:type="dxa"/>
          </w:tcPr>
          <w:p w:rsidR="00300F38" w:rsidRPr="0017381C" w:rsidRDefault="00300F38" w:rsidP="0051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1 910,00</w:t>
            </w:r>
          </w:p>
        </w:tc>
      </w:tr>
      <w:tr w:rsidR="00300F38" w:rsidRPr="0017381C" w:rsidTr="0017381C">
        <w:trPr>
          <w:trHeight w:val="188"/>
        </w:trPr>
        <w:tc>
          <w:tcPr>
            <w:tcW w:w="561" w:type="dxa"/>
            <w:vMerge/>
            <w:shd w:val="clear" w:color="auto" w:fill="auto"/>
          </w:tcPr>
          <w:p w:rsidR="00300F38" w:rsidRPr="0017381C" w:rsidRDefault="00300F38" w:rsidP="0017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300F38" w:rsidRDefault="00300F38" w:rsidP="0017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9" w:type="dxa"/>
            <w:vMerge/>
          </w:tcPr>
          <w:p w:rsidR="00300F38" w:rsidRPr="0017381C" w:rsidRDefault="00300F38" w:rsidP="0017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300F38" w:rsidRPr="0017381C" w:rsidRDefault="00300F38" w:rsidP="0017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  <w:vMerge/>
            <w:shd w:val="clear" w:color="auto" w:fill="auto"/>
            <w:noWrap/>
          </w:tcPr>
          <w:p w:rsidR="00300F38" w:rsidRPr="0017381C" w:rsidRDefault="00300F38" w:rsidP="0017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vMerge/>
            <w:shd w:val="clear" w:color="auto" w:fill="auto"/>
            <w:noWrap/>
          </w:tcPr>
          <w:p w:rsidR="00300F38" w:rsidRPr="0017381C" w:rsidRDefault="00300F38" w:rsidP="0017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2" w:type="dxa"/>
          </w:tcPr>
          <w:p w:rsidR="00300F38" w:rsidRDefault="00300F38" w:rsidP="0051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</w:tcPr>
          <w:p w:rsidR="00300F38" w:rsidRDefault="00300F38" w:rsidP="0051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843" w:type="dxa"/>
          </w:tcPr>
          <w:p w:rsidR="00300F38" w:rsidRDefault="00300F38" w:rsidP="0051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90,00</w:t>
            </w:r>
          </w:p>
        </w:tc>
      </w:tr>
      <w:tr w:rsidR="00300F38" w:rsidRPr="0017381C" w:rsidTr="0017381C">
        <w:trPr>
          <w:trHeight w:val="188"/>
        </w:trPr>
        <w:tc>
          <w:tcPr>
            <w:tcW w:w="561" w:type="dxa"/>
            <w:vMerge w:val="restart"/>
            <w:shd w:val="clear" w:color="auto" w:fill="auto"/>
          </w:tcPr>
          <w:p w:rsidR="00300F38" w:rsidRPr="0017381C" w:rsidRDefault="00300F38" w:rsidP="0017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300F38" w:rsidRDefault="00300F38" w:rsidP="0051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Игла</w:t>
            </w:r>
          </w:p>
        </w:tc>
        <w:tc>
          <w:tcPr>
            <w:tcW w:w="659" w:type="dxa"/>
            <w:vMerge w:val="restart"/>
          </w:tcPr>
          <w:p w:rsidR="00300F38" w:rsidRPr="0017381C" w:rsidRDefault="00300F38" w:rsidP="0017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vMerge w:val="restart"/>
            <w:shd w:val="clear" w:color="auto" w:fill="auto"/>
          </w:tcPr>
          <w:p w:rsidR="00300F38" w:rsidRPr="0017381C" w:rsidRDefault="00300F38" w:rsidP="0017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  <w:vMerge w:val="restart"/>
            <w:shd w:val="clear" w:color="auto" w:fill="auto"/>
            <w:noWrap/>
          </w:tcPr>
          <w:p w:rsidR="00300F38" w:rsidRPr="0017381C" w:rsidRDefault="00300F38" w:rsidP="0017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vMerge w:val="restart"/>
            <w:shd w:val="clear" w:color="auto" w:fill="auto"/>
            <w:noWrap/>
          </w:tcPr>
          <w:p w:rsidR="00300F38" w:rsidRPr="0017381C" w:rsidRDefault="00300F38" w:rsidP="0017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2" w:type="dxa"/>
          </w:tcPr>
          <w:p w:rsidR="00300F38" w:rsidRPr="0017381C" w:rsidRDefault="00300F38" w:rsidP="0051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300F38" w:rsidRPr="0017381C" w:rsidRDefault="00300F38" w:rsidP="0051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1 910,00</w:t>
            </w:r>
          </w:p>
        </w:tc>
        <w:tc>
          <w:tcPr>
            <w:tcW w:w="1843" w:type="dxa"/>
          </w:tcPr>
          <w:p w:rsidR="00300F38" w:rsidRPr="0017381C" w:rsidRDefault="00300F38" w:rsidP="0051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1 910,00</w:t>
            </w:r>
          </w:p>
        </w:tc>
      </w:tr>
      <w:tr w:rsidR="00300F38" w:rsidRPr="0017381C" w:rsidTr="0017381C">
        <w:trPr>
          <w:trHeight w:val="188"/>
        </w:trPr>
        <w:tc>
          <w:tcPr>
            <w:tcW w:w="561" w:type="dxa"/>
            <w:vMerge/>
            <w:shd w:val="clear" w:color="auto" w:fill="auto"/>
          </w:tcPr>
          <w:p w:rsidR="00300F38" w:rsidRPr="0017381C" w:rsidRDefault="00300F38" w:rsidP="0017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300F38" w:rsidRDefault="00300F38" w:rsidP="0017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9" w:type="dxa"/>
            <w:vMerge/>
          </w:tcPr>
          <w:p w:rsidR="00300F38" w:rsidRPr="0017381C" w:rsidRDefault="00300F38" w:rsidP="0017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300F38" w:rsidRPr="0017381C" w:rsidRDefault="00300F38" w:rsidP="0017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  <w:vMerge/>
            <w:shd w:val="clear" w:color="auto" w:fill="auto"/>
            <w:noWrap/>
          </w:tcPr>
          <w:p w:rsidR="00300F38" w:rsidRPr="0017381C" w:rsidRDefault="00300F38" w:rsidP="0017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4" w:type="dxa"/>
            <w:vMerge/>
            <w:shd w:val="clear" w:color="auto" w:fill="auto"/>
            <w:noWrap/>
          </w:tcPr>
          <w:p w:rsidR="00300F38" w:rsidRPr="0017381C" w:rsidRDefault="00300F38" w:rsidP="0017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2" w:type="dxa"/>
          </w:tcPr>
          <w:p w:rsidR="00300F38" w:rsidRDefault="00300F38" w:rsidP="0051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</w:tcPr>
          <w:p w:rsidR="00300F38" w:rsidRDefault="00300F38" w:rsidP="0051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843" w:type="dxa"/>
          </w:tcPr>
          <w:p w:rsidR="00300F38" w:rsidRDefault="00300F38" w:rsidP="0051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90,00</w:t>
            </w:r>
          </w:p>
        </w:tc>
      </w:tr>
    </w:tbl>
    <w:p w:rsidR="00300F38" w:rsidRDefault="00300F38" w:rsidP="00230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Из вышеприведенного примера понятно, что недобросовестный поставщик, будет пытаться заключить договор по цене за единицу 9 910,00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позициям 1-3 и по цене 1 910,00 по позициям </w:t>
      </w:r>
      <w:proofErr w:type="gramStart"/>
      <w:r>
        <w:rPr>
          <w:rFonts w:ascii="Times New Roman" w:hAnsi="Times New Roman" w:cs="Times New Roman"/>
          <w:sz w:val="28"/>
          <w:szCs w:val="28"/>
        </w:rPr>
        <w:t>4-6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на остальное расторгнуть.</w:t>
      </w:r>
    </w:p>
    <w:p w:rsidR="007B0685" w:rsidRDefault="007B0685" w:rsidP="00230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0685" w:rsidRPr="007B0685" w:rsidRDefault="007B0685" w:rsidP="007B0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685">
        <w:rPr>
          <w:rFonts w:ascii="Times New Roman" w:hAnsi="Times New Roman" w:cs="Times New Roman"/>
          <w:sz w:val="28"/>
          <w:szCs w:val="28"/>
        </w:rPr>
        <w:t>В качестве положительного примера</w:t>
      </w:r>
      <w:r>
        <w:rPr>
          <w:rFonts w:ascii="Times New Roman" w:hAnsi="Times New Roman" w:cs="Times New Roman"/>
          <w:sz w:val="28"/>
          <w:szCs w:val="28"/>
        </w:rPr>
        <w:t xml:space="preserve"> из собственной практики автора</w:t>
      </w:r>
      <w:r w:rsidRPr="007B0685">
        <w:rPr>
          <w:rFonts w:ascii="Times New Roman" w:hAnsi="Times New Roman" w:cs="Times New Roman"/>
          <w:sz w:val="28"/>
          <w:szCs w:val="28"/>
        </w:rPr>
        <w:t xml:space="preserve"> привожу судебное решение, вступившее в законную силу по делу Дело № А07-10428/2016. Согласно данному решению суд решил удовлетворить исковые требования ГБУЗ РКОД МЗ РБ и взыскать с недобросовестного поставщика:</w:t>
      </w:r>
    </w:p>
    <w:p w:rsidR="007B0685" w:rsidRPr="007B0685" w:rsidRDefault="007B0685" w:rsidP="007B0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685">
        <w:rPr>
          <w:rFonts w:ascii="Times New Roman" w:hAnsi="Times New Roman" w:cs="Times New Roman"/>
          <w:sz w:val="28"/>
          <w:szCs w:val="28"/>
        </w:rPr>
        <w:t xml:space="preserve">1) пени за просрочку исполнения обязательств; </w:t>
      </w:r>
    </w:p>
    <w:p w:rsidR="007B0685" w:rsidRPr="007B0685" w:rsidRDefault="007B0685" w:rsidP="007B0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685">
        <w:rPr>
          <w:rFonts w:ascii="Times New Roman" w:hAnsi="Times New Roman" w:cs="Times New Roman"/>
          <w:sz w:val="28"/>
          <w:szCs w:val="28"/>
        </w:rPr>
        <w:t>2) пени за неисполнение обязательства (не поставленный товар);</w:t>
      </w:r>
    </w:p>
    <w:p w:rsidR="007B0685" w:rsidRDefault="007B0685" w:rsidP="007B0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685">
        <w:rPr>
          <w:rFonts w:ascii="Times New Roman" w:hAnsi="Times New Roman" w:cs="Times New Roman"/>
          <w:sz w:val="28"/>
          <w:szCs w:val="28"/>
        </w:rPr>
        <w:t>2) штраф за ненадлежащее исполнение обязательств.</w:t>
      </w:r>
    </w:p>
    <w:p w:rsidR="007B0685" w:rsidRDefault="007B0685" w:rsidP="007B0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Вышеуказанный договор заключался по итогам электронного аукциона, победитель конкретно пытался многократно превысить НМЦ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попозиционно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как раз на те позиции, которые в итоге поставил, а на те которые не были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поставлены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пытался поставить </w:t>
      </w:r>
      <w:r w:rsidR="00E03F7D">
        <w:rPr>
          <w:rFonts w:ascii="Times New Roman" w:hAnsi="Times New Roman" w:cs="Times New Roman"/>
          <w:sz w:val="28"/>
          <w:szCs w:val="28"/>
        </w:rPr>
        <w:t>сверх</w:t>
      </w:r>
      <w:r>
        <w:rPr>
          <w:rFonts w:ascii="Times New Roman" w:hAnsi="Times New Roman" w:cs="Times New Roman"/>
          <w:sz w:val="28"/>
          <w:szCs w:val="28"/>
        </w:rPr>
        <w:t>низкие цены.</w:t>
      </w:r>
    </w:p>
    <w:p w:rsidR="004C3E70" w:rsidRPr="008B2502" w:rsidRDefault="004C3E70" w:rsidP="00230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02">
        <w:rPr>
          <w:rFonts w:ascii="Times New Roman" w:hAnsi="Times New Roman" w:cs="Times New Roman"/>
          <w:sz w:val="28"/>
          <w:szCs w:val="28"/>
        </w:rPr>
        <w:t xml:space="preserve">Учитывая </w:t>
      </w:r>
      <w:proofErr w:type="gramStart"/>
      <w:r w:rsidRPr="008B2502">
        <w:rPr>
          <w:rFonts w:ascii="Times New Roman" w:hAnsi="Times New Roman" w:cs="Times New Roman"/>
          <w:sz w:val="28"/>
          <w:szCs w:val="28"/>
        </w:rPr>
        <w:t>вышеизложенное</w:t>
      </w:r>
      <w:proofErr w:type="gramEnd"/>
      <w:r w:rsidRPr="008B2502">
        <w:rPr>
          <w:rFonts w:ascii="Times New Roman" w:hAnsi="Times New Roman" w:cs="Times New Roman"/>
          <w:sz w:val="28"/>
          <w:szCs w:val="28"/>
        </w:rPr>
        <w:t xml:space="preserve"> считаю обоснованным необходимость соблюдения НМЦ </w:t>
      </w:r>
      <w:proofErr w:type="spellStart"/>
      <w:r w:rsidRPr="008B2502">
        <w:rPr>
          <w:rFonts w:ascii="Times New Roman" w:hAnsi="Times New Roman" w:cs="Times New Roman"/>
          <w:sz w:val="28"/>
          <w:szCs w:val="28"/>
        </w:rPr>
        <w:t>попозиционно</w:t>
      </w:r>
      <w:proofErr w:type="spellEnd"/>
      <w:r w:rsidRPr="008B2502">
        <w:rPr>
          <w:rFonts w:ascii="Times New Roman" w:hAnsi="Times New Roman" w:cs="Times New Roman"/>
          <w:sz w:val="28"/>
          <w:szCs w:val="28"/>
        </w:rPr>
        <w:t xml:space="preserve"> (и за единицу ТРУ)</w:t>
      </w:r>
      <w:r w:rsidR="00300F38">
        <w:rPr>
          <w:rFonts w:ascii="Times New Roman" w:hAnsi="Times New Roman" w:cs="Times New Roman"/>
          <w:sz w:val="28"/>
          <w:szCs w:val="28"/>
        </w:rPr>
        <w:t xml:space="preserve"> на стадии зак</w:t>
      </w:r>
      <w:r w:rsidR="00070E69" w:rsidRPr="008B2502">
        <w:rPr>
          <w:rFonts w:ascii="Times New Roman" w:hAnsi="Times New Roman" w:cs="Times New Roman"/>
          <w:sz w:val="28"/>
          <w:szCs w:val="28"/>
        </w:rPr>
        <w:t xml:space="preserve">лючения договора по итогам </w:t>
      </w:r>
      <w:r w:rsidR="00A83F4D">
        <w:rPr>
          <w:rFonts w:ascii="Times New Roman" w:hAnsi="Times New Roman" w:cs="Times New Roman"/>
          <w:sz w:val="28"/>
          <w:szCs w:val="28"/>
        </w:rPr>
        <w:t>электронного</w:t>
      </w:r>
      <w:r w:rsidR="00070E69" w:rsidRPr="008B2502">
        <w:rPr>
          <w:rFonts w:ascii="Times New Roman" w:hAnsi="Times New Roman" w:cs="Times New Roman"/>
          <w:sz w:val="28"/>
          <w:szCs w:val="28"/>
        </w:rPr>
        <w:t xml:space="preserve"> как способ противодействия проявлениям коррупции  в </w:t>
      </w:r>
      <w:proofErr w:type="spellStart"/>
      <w:r w:rsidR="00070E69" w:rsidRPr="008B2502">
        <w:rPr>
          <w:rFonts w:ascii="Times New Roman" w:hAnsi="Times New Roman" w:cs="Times New Roman"/>
          <w:sz w:val="28"/>
          <w:szCs w:val="28"/>
        </w:rPr>
        <w:t>госзакупках</w:t>
      </w:r>
      <w:proofErr w:type="spellEnd"/>
      <w:r w:rsidRPr="008B2502">
        <w:rPr>
          <w:rFonts w:ascii="Times New Roman" w:hAnsi="Times New Roman" w:cs="Times New Roman"/>
          <w:sz w:val="28"/>
          <w:szCs w:val="28"/>
        </w:rPr>
        <w:t>.</w:t>
      </w:r>
    </w:p>
    <w:p w:rsidR="00070E69" w:rsidRPr="008B2502" w:rsidRDefault="004C3E70" w:rsidP="00230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2502">
        <w:rPr>
          <w:rFonts w:ascii="Times New Roman" w:hAnsi="Times New Roman" w:cs="Times New Roman"/>
          <w:sz w:val="28"/>
          <w:szCs w:val="28"/>
        </w:rPr>
        <w:t xml:space="preserve">Проблемой является отсутствие законодательного регулирования обязанности соблюдения НМЦ </w:t>
      </w:r>
      <w:proofErr w:type="spellStart"/>
      <w:r w:rsidRPr="008B2502">
        <w:rPr>
          <w:rFonts w:ascii="Times New Roman" w:hAnsi="Times New Roman" w:cs="Times New Roman"/>
          <w:sz w:val="28"/>
          <w:szCs w:val="28"/>
        </w:rPr>
        <w:t>попозиционно</w:t>
      </w:r>
      <w:proofErr w:type="spellEnd"/>
      <w:r w:rsidRPr="008B2502">
        <w:rPr>
          <w:rFonts w:ascii="Times New Roman" w:hAnsi="Times New Roman" w:cs="Times New Roman"/>
          <w:sz w:val="28"/>
          <w:szCs w:val="28"/>
        </w:rPr>
        <w:t xml:space="preserve"> (и за единицу ТРУ)</w:t>
      </w:r>
      <w:r w:rsidR="00070E69" w:rsidRPr="008B2502">
        <w:rPr>
          <w:rFonts w:ascii="Times New Roman" w:hAnsi="Times New Roman" w:cs="Times New Roman"/>
          <w:sz w:val="28"/>
          <w:szCs w:val="28"/>
        </w:rPr>
        <w:t xml:space="preserve"> на стадии заключения договора по итогам ЭА</w:t>
      </w:r>
      <w:r w:rsidR="00300F38">
        <w:rPr>
          <w:rFonts w:ascii="Times New Roman" w:hAnsi="Times New Roman" w:cs="Times New Roman"/>
          <w:sz w:val="28"/>
          <w:szCs w:val="28"/>
        </w:rPr>
        <w:t xml:space="preserve">, отсутствие обязанности соблюдать последовательности указания цен за позицию последовательности описания </w:t>
      </w:r>
      <w:proofErr w:type="spellStart"/>
      <w:r w:rsidR="00300F38">
        <w:rPr>
          <w:rFonts w:ascii="Times New Roman" w:hAnsi="Times New Roman" w:cs="Times New Roman"/>
          <w:sz w:val="28"/>
          <w:szCs w:val="28"/>
        </w:rPr>
        <w:t>обьекта</w:t>
      </w:r>
      <w:proofErr w:type="spellEnd"/>
      <w:r w:rsidR="00300F38">
        <w:rPr>
          <w:rFonts w:ascii="Times New Roman" w:hAnsi="Times New Roman" w:cs="Times New Roman"/>
          <w:sz w:val="28"/>
          <w:szCs w:val="28"/>
        </w:rPr>
        <w:t xml:space="preserve"> закупки (технического задания) при расчете НМЦ</w:t>
      </w:r>
      <w:r w:rsidR="00E03F7D">
        <w:rPr>
          <w:rFonts w:ascii="Times New Roman" w:hAnsi="Times New Roman" w:cs="Times New Roman"/>
          <w:sz w:val="28"/>
          <w:szCs w:val="28"/>
        </w:rPr>
        <w:t>, отсутствие обязанности закреплять НМЦ единицы ТРУ</w:t>
      </w:r>
      <w:r w:rsidR="00300F38">
        <w:rPr>
          <w:rFonts w:ascii="Times New Roman" w:hAnsi="Times New Roman" w:cs="Times New Roman"/>
          <w:sz w:val="28"/>
          <w:szCs w:val="28"/>
        </w:rPr>
        <w:t>, а также отсутствие четкой обязанности у Заказчика требовать уплату неустойки от исполненного с просрочкой обязательства, штрафа за</w:t>
      </w:r>
      <w:proofErr w:type="gramEnd"/>
      <w:r w:rsidR="00300F38">
        <w:rPr>
          <w:rFonts w:ascii="Times New Roman" w:hAnsi="Times New Roman" w:cs="Times New Roman"/>
          <w:sz w:val="28"/>
          <w:szCs w:val="28"/>
        </w:rPr>
        <w:t xml:space="preserve"> неисполнение обязательств и</w:t>
      </w:r>
      <w:r w:rsidR="00E03F7D">
        <w:rPr>
          <w:rFonts w:ascii="Times New Roman" w:hAnsi="Times New Roman" w:cs="Times New Roman"/>
          <w:sz w:val="28"/>
          <w:szCs w:val="28"/>
        </w:rPr>
        <w:t xml:space="preserve"> </w:t>
      </w:r>
      <w:r w:rsidR="00300F38" w:rsidRPr="00300F38">
        <w:rPr>
          <w:rFonts w:ascii="Times New Roman" w:hAnsi="Times New Roman" w:cs="Times New Roman"/>
          <w:sz w:val="28"/>
          <w:szCs w:val="28"/>
        </w:rPr>
        <w:t xml:space="preserve">неустойки от </w:t>
      </w:r>
      <w:r w:rsidR="00300F38">
        <w:rPr>
          <w:rFonts w:ascii="Times New Roman" w:hAnsi="Times New Roman" w:cs="Times New Roman"/>
          <w:sz w:val="28"/>
          <w:szCs w:val="28"/>
        </w:rPr>
        <w:t>не</w:t>
      </w:r>
      <w:r w:rsidR="00300F38" w:rsidRPr="00300F38">
        <w:rPr>
          <w:rFonts w:ascii="Times New Roman" w:hAnsi="Times New Roman" w:cs="Times New Roman"/>
          <w:sz w:val="28"/>
          <w:szCs w:val="28"/>
        </w:rPr>
        <w:t>исполненного обязательства</w:t>
      </w:r>
      <w:r w:rsidR="00300F38">
        <w:rPr>
          <w:rFonts w:ascii="Times New Roman" w:hAnsi="Times New Roman" w:cs="Times New Roman"/>
          <w:sz w:val="28"/>
          <w:szCs w:val="28"/>
        </w:rPr>
        <w:t xml:space="preserve"> (от суммы расторжения договора)</w:t>
      </w:r>
      <w:r w:rsidRPr="008B2502">
        <w:rPr>
          <w:rFonts w:ascii="Times New Roman" w:hAnsi="Times New Roman" w:cs="Times New Roman"/>
          <w:sz w:val="28"/>
          <w:szCs w:val="28"/>
        </w:rPr>
        <w:t>.</w:t>
      </w:r>
    </w:p>
    <w:p w:rsidR="004C3E70" w:rsidRPr="008B2502" w:rsidRDefault="00070E69" w:rsidP="00230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02">
        <w:rPr>
          <w:rFonts w:ascii="Times New Roman" w:hAnsi="Times New Roman" w:cs="Times New Roman"/>
          <w:sz w:val="28"/>
          <w:szCs w:val="28"/>
        </w:rPr>
        <w:t>Для устранения пробела, с</w:t>
      </w:r>
      <w:r w:rsidR="004C3E70" w:rsidRPr="008B2502">
        <w:rPr>
          <w:rFonts w:ascii="Times New Roman" w:hAnsi="Times New Roman" w:cs="Times New Roman"/>
          <w:sz w:val="28"/>
          <w:szCs w:val="28"/>
        </w:rPr>
        <w:t>читаю необходимым внести нижеприведенные изменения в действующее законодательство:</w:t>
      </w:r>
    </w:p>
    <w:p w:rsidR="00070E69" w:rsidRPr="008B2502" w:rsidRDefault="00070E69" w:rsidP="00230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3E70" w:rsidRPr="008B2502" w:rsidRDefault="004C3E70" w:rsidP="00230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02">
        <w:rPr>
          <w:rFonts w:ascii="Times New Roman" w:hAnsi="Times New Roman" w:cs="Times New Roman"/>
          <w:sz w:val="28"/>
          <w:szCs w:val="28"/>
        </w:rPr>
        <w:t>1) Дополнить часть 2 статьи 70 Закона о контрак</w:t>
      </w:r>
      <w:r w:rsidR="00070E69" w:rsidRPr="008B2502">
        <w:rPr>
          <w:rFonts w:ascii="Times New Roman" w:hAnsi="Times New Roman" w:cs="Times New Roman"/>
          <w:sz w:val="28"/>
          <w:szCs w:val="28"/>
        </w:rPr>
        <w:t>т</w:t>
      </w:r>
      <w:r w:rsidRPr="008B2502">
        <w:rPr>
          <w:rFonts w:ascii="Times New Roman" w:hAnsi="Times New Roman" w:cs="Times New Roman"/>
          <w:sz w:val="28"/>
          <w:szCs w:val="28"/>
        </w:rPr>
        <w:t>ной системе и изложить ее в следующей редакции:</w:t>
      </w:r>
    </w:p>
    <w:p w:rsidR="004C3E70" w:rsidRPr="008B2502" w:rsidRDefault="004C3E70" w:rsidP="00230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2502">
        <w:rPr>
          <w:rFonts w:ascii="Times New Roman" w:hAnsi="Times New Roman" w:cs="Times New Roman"/>
          <w:sz w:val="28"/>
          <w:szCs w:val="28"/>
        </w:rPr>
        <w:t>« В течение пяти дней с даты размещения в единой информационной системе указанного в части 8 статьи 69 настоящего Федерального закона протокола заказчик размещает в единой информационной системе без своей подписи проект контракта, который составляется путем включения цены контракта, предложенной участником электронного аукциона, с которым заключается контракт, информации о товаре (товарном знаке и (или) конкретных показателях товара), указанной в заявке на</w:t>
      </w:r>
      <w:proofErr w:type="gramEnd"/>
      <w:r w:rsidRPr="008B2502">
        <w:rPr>
          <w:rFonts w:ascii="Times New Roman" w:hAnsi="Times New Roman" w:cs="Times New Roman"/>
          <w:sz w:val="28"/>
          <w:szCs w:val="28"/>
        </w:rPr>
        <w:t xml:space="preserve"> участие в таком аукционе его участника, в проект контракта, прилагаемый к документации о таком аукционе, </w:t>
      </w:r>
      <w:r w:rsidRPr="008B2502">
        <w:rPr>
          <w:rFonts w:ascii="Times New Roman" w:hAnsi="Times New Roman" w:cs="Times New Roman"/>
          <w:b/>
          <w:sz w:val="28"/>
          <w:szCs w:val="28"/>
        </w:rPr>
        <w:t xml:space="preserve">при этом цена за единицу товара (работы, услуги) не может превышать цену единицы товара (работы, услуги) указанную в расчете НМЦ </w:t>
      </w:r>
      <w:r w:rsidRPr="008B2502">
        <w:rPr>
          <w:rFonts w:ascii="Times New Roman" w:hAnsi="Times New Roman" w:cs="Times New Roman"/>
          <w:sz w:val="28"/>
          <w:szCs w:val="28"/>
        </w:rPr>
        <w:t>».</w:t>
      </w:r>
    </w:p>
    <w:p w:rsidR="00070E69" w:rsidRPr="008B2502" w:rsidRDefault="00070E69" w:rsidP="00230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3E70" w:rsidRPr="008B2502" w:rsidRDefault="004C3E70" w:rsidP="00230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02">
        <w:rPr>
          <w:rFonts w:ascii="Times New Roman" w:hAnsi="Times New Roman" w:cs="Times New Roman"/>
          <w:sz w:val="28"/>
          <w:szCs w:val="28"/>
        </w:rPr>
        <w:t>2) Дополнить статью 7.32 КоАП РФ частью 2.1 и изложить ее в следующей редакции:</w:t>
      </w:r>
    </w:p>
    <w:p w:rsidR="008E5F2B" w:rsidRPr="008B2502" w:rsidRDefault="008E5F2B" w:rsidP="00230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02">
        <w:rPr>
          <w:rFonts w:ascii="Times New Roman" w:hAnsi="Times New Roman" w:cs="Times New Roman"/>
          <w:sz w:val="28"/>
          <w:szCs w:val="28"/>
        </w:rPr>
        <w:lastRenderedPageBreak/>
        <w:t xml:space="preserve">« </w:t>
      </w:r>
      <w:r w:rsidR="004C3E70" w:rsidRPr="008B2502">
        <w:rPr>
          <w:rFonts w:ascii="Times New Roman" w:hAnsi="Times New Roman" w:cs="Times New Roman"/>
          <w:sz w:val="28"/>
          <w:szCs w:val="28"/>
        </w:rPr>
        <w:t>2.</w:t>
      </w:r>
      <w:r w:rsidRPr="008B2502">
        <w:rPr>
          <w:rFonts w:ascii="Times New Roman" w:hAnsi="Times New Roman" w:cs="Times New Roman"/>
          <w:sz w:val="28"/>
          <w:szCs w:val="28"/>
        </w:rPr>
        <w:t>1</w:t>
      </w:r>
      <w:r w:rsidR="004C3E70" w:rsidRPr="008B2502">
        <w:rPr>
          <w:rFonts w:ascii="Times New Roman" w:hAnsi="Times New Roman" w:cs="Times New Roman"/>
          <w:sz w:val="28"/>
          <w:szCs w:val="28"/>
        </w:rPr>
        <w:t xml:space="preserve"> Заключение контракта по результатам определения поставщика (подрядчика, исполнителя) </w:t>
      </w:r>
      <w:r w:rsidRPr="008B2502">
        <w:rPr>
          <w:rFonts w:ascii="Times New Roman" w:hAnsi="Times New Roman" w:cs="Times New Roman"/>
          <w:sz w:val="28"/>
          <w:szCs w:val="28"/>
        </w:rPr>
        <w:t>с превышением цены за единицу товара (работы, услуги) указанной в расчете НМЦ.</w:t>
      </w:r>
    </w:p>
    <w:p w:rsidR="004C3E70" w:rsidRPr="008B2502" w:rsidRDefault="004C3E70" w:rsidP="00230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02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должностных лиц,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</w:t>
      </w:r>
      <w:r w:rsidR="008E5F2B" w:rsidRPr="008B2502">
        <w:rPr>
          <w:rFonts w:ascii="Times New Roman" w:hAnsi="Times New Roman" w:cs="Times New Roman"/>
          <w:sz w:val="28"/>
          <w:szCs w:val="28"/>
        </w:rPr>
        <w:t xml:space="preserve"> »</w:t>
      </w:r>
      <w:proofErr w:type="gramStart"/>
      <w:r w:rsidR="008E5F2B" w:rsidRPr="008B2502">
        <w:rPr>
          <w:rFonts w:ascii="Times New Roman" w:hAnsi="Times New Roman" w:cs="Times New Roman"/>
          <w:sz w:val="28"/>
          <w:szCs w:val="28"/>
        </w:rPr>
        <w:t xml:space="preserve">  </w:t>
      </w:r>
      <w:r w:rsidRPr="008B250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3043C" w:rsidRPr="008B2502" w:rsidRDefault="0023043C" w:rsidP="00230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043C" w:rsidRPr="008B2502" w:rsidRDefault="0023043C" w:rsidP="00230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02">
        <w:rPr>
          <w:rFonts w:ascii="Times New Roman" w:hAnsi="Times New Roman" w:cs="Times New Roman"/>
          <w:sz w:val="28"/>
          <w:szCs w:val="28"/>
        </w:rPr>
        <w:t>3) Дополнить Приказ Минэкономразвития России от 02.10.2013 N 567</w:t>
      </w:r>
      <w:r w:rsidR="00070E69" w:rsidRPr="008B2502">
        <w:rPr>
          <w:rFonts w:ascii="Times New Roman" w:hAnsi="Times New Roman" w:cs="Times New Roman"/>
          <w:sz w:val="28"/>
          <w:szCs w:val="28"/>
        </w:rPr>
        <w:t xml:space="preserve"> </w:t>
      </w:r>
      <w:r w:rsidRPr="008B2502">
        <w:rPr>
          <w:rFonts w:ascii="Times New Roman" w:hAnsi="Times New Roman" w:cs="Times New Roman"/>
          <w:sz w:val="28"/>
          <w:szCs w:val="28"/>
        </w:rPr>
        <w:t>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</w:t>
      </w:r>
      <w:r w:rsidR="00070E69" w:rsidRPr="008B2502">
        <w:rPr>
          <w:rFonts w:ascii="Times New Roman" w:hAnsi="Times New Roman" w:cs="Times New Roman"/>
          <w:sz w:val="28"/>
          <w:szCs w:val="28"/>
        </w:rPr>
        <w:t xml:space="preserve"> н</w:t>
      </w:r>
      <w:r w:rsidRPr="008B2502">
        <w:rPr>
          <w:rFonts w:ascii="Times New Roman" w:hAnsi="Times New Roman" w:cs="Times New Roman"/>
          <w:sz w:val="28"/>
          <w:szCs w:val="28"/>
        </w:rPr>
        <w:t>ижеследующим</w:t>
      </w:r>
      <w:r w:rsidR="00300F38">
        <w:rPr>
          <w:rFonts w:ascii="Times New Roman" w:hAnsi="Times New Roman" w:cs="Times New Roman"/>
          <w:sz w:val="28"/>
          <w:szCs w:val="28"/>
        </w:rPr>
        <w:t>и положения</w:t>
      </w:r>
      <w:r w:rsidRPr="008B2502">
        <w:rPr>
          <w:rFonts w:ascii="Times New Roman" w:hAnsi="Times New Roman" w:cs="Times New Roman"/>
          <w:sz w:val="28"/>
          <w:szCs w:val="28"/>
        </w:rPr>
        <w:t>м</w:t>
      </w:r>
      <w:r w:rsidR="00300F38">
        <w:rPr>
          <w:rFonts w:ascii="Times New Roman" w:hAnsi="Times New Roman" w:cs="Times New Roman"/>
          <w:sz w:val="28"/>
          <w:szCs w:val="28"/>
        </w:rPr>
        <w:t>и</w:t>
      </w:r>
      <w:r w:rsidR="00070E69" w:rsidRPr="008B2502">
        <w:rPr>
          <w:rFonts w:ascii="Times New Roman" w:hAnsi="Times New Roman" w:cs="Times New Roman"/>
          <w:sz w:val="28"/>
          <w:szCs w:val="28"/>
        </w:rPr>
        <w:t>:</w:t>
      </w:r>
    </w:p>
    <w:p w:rsidR="0023043C" w:rsidRPr="008B2502" w:rsidRDefault="00542FD7" w:rsidP="00230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3.1) </w:t>
      </w:r>
      <w:r w:rsidR="0023043C" w:rsidRPr="008B2502">
        <w:rPr>
          <w:rFonts w:ascii="Times New Roman" w:hAnsi="Times New Roman" w:cs="Times New Roman"/>
          <w:sz w:val="28"/>
          <w:szCs w:val="28"/>
        </w:rPr>
        <w:t xml:space="preserve">«Номер и наименование единицы </w:t>
      </w:r>
      <w:r>
        <w:rPr>
          <w:rFonts w:ascii="Times New Roman" w:hAnsi="Times New Roman" w:cs="Times New Roman"/>
          <w:sz w:val="28"/>
          <w:szCs w:val="28"/>
        </w:rPr>
        <w:t>товара (работы, услуги)</w:t>
      </w:r>
      <w:r w:rsidR="0023043C" w:rsidRPr="008B2502">
        <w:rPr>
          <w:rFonts w:ascii="Times New Roman" w:hAnsi="Times New Roman" w:cs="Times New Roman"/>
          <w:sz w:val="28"/>
          <w:szCs w:val="28"/>
        </w:rPr>
        <w:t xml:space="preserve"> в расчете НМЦ должно соотве</w:t>
      </w:r>
      <w:r w:rsidR="00070E69" w:rsidRPr="008B2502">
        <w:rPr>
          <w:rFonts w:ascii="Times New Roman" w:hAnsi="Times New Roman" w:cs="Times New Roman"/>
          <w:sz w:val="28"/>
          <w:szCs w:val="28"/>
        </w:rPr>
        <w:t>т</w:t>
      </w:r>
      <w:r w:rsidR="0023043C" w:rsidRPr="008B2502">
        <w:rPr>
          <w:rFonts w:ascii="Times New Roman" w:hAnsi="Times New Roman" w:cs="Times New Roman"/>
          <w:sz w:val="28"/>
          <w:szCs w:val="28"/>
        </w:rPr>
        <w:t xml:space="preserve">ствовать номеру и наименованию единицы </w:t>
      </w:r>
      <w:r w:rsidRPr="00542FD7">
        <w:rPr>
          <w:rFonts w:ascii="Times New Roman" w:hAnsi="Times New Roman" w:cs="Times New Roman"/>
          <w:sz w:val="28"/>
          <w:szCs w:val="28"/>
        </w:rPr>
        <w:t xml:space="preserve">товара (работы, услуги) </w:t>
      </w:r>
      <w:r w:rsidR="0023043C" w:rsidRPr="008B2502">
        <w:rPr>
          <w:rFonts w:ascii="Times New Roman" w:hAnsi="Times New Roman" w:cs="Times New Roman"/>
          <w:sz w:val="28"/>
          <w:szCs w:val="28"/>
        </w:rPr>
        <w:t xml:space="preserve"> описания </w:t>
      </w:r>
      <w:proofErr w:type="spellStart"/>
      <w:r w:rsidR="0023043C" w:rsidRPr="008B2502">
        <w:rPr>
          <w:rFonts w:ascii="Times New Roman" w:hAnsi="Times New Roman" w:cs="Times New Roman"/>
          <w:sz w:val="28"/>
          <w:szCs w:val="28"/>
        </w:rPr>
        <w:t>обьекта</w:t>
      </w:r>
      <w:proofErr w:type="spellEnd"/>
      <w:r w:rsidR="0023043C" w:rsidRPr="008B2502">
        <w:rPr>
          <w:rFonts w:ascii="Times New Roman" w:hAnsi="Times New Roman" w:cs="Times New Roman"/>
          <w:sz w:val="28"/>
          <w:szCs w:val="28"/>
        </w:rPr>
        <w:t xml:space="preserve"> закупки»</w:t>
      </w:r>
      <w:r w:rsidR="00C915BF" w:rsidRPr="008B2502">
        <w:rPr>
          <w:rFonts w:ascii="Times New Roman" w:hAnsi="Times New Roman" w:cs="Times New Roman"/>
          <w:sz w:val="28"/>
          <w:szCs w:val="28"/>
        </w:rPr>
        <w:t>.</w:t>
      </w:r>
    </w:p>
    <w:p w:rsidR="007B4D40" w:rsidRDefault="00542FD7" w:rsidP="00230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3.2) </w:t>
      </w:r>
      <w:r w:rsidR="00300F38">
        <w:rPr>
          <w:rFonts w:ascii="Times New Roman" w:hAnsi="Times New Roman" w:cs="Times New Roman"/>
          <w:sz w:val="28"/>
          <w:szCs w:val="28"/>
        </w:rPr>
        <w:t>«Заказчик обязан в расчете НМЦ установить максимальную</w:t>
      </w:r>
      <w:r>
        <w:rPr>
          <w:rFonts w:ascii="Times New Roman" w:hAnsi="Times New Roman" w:cs="Times New Roman"/>
          <w:sz w:val="28"/>
          <w:szCs w:val="28"/>
        </w:rPr>
        <w:t xml:space="preserve"> цену единицы товара, работы, услуги. При этом максимальная цена единицы</w:t>
      </w:r>
      <w:r w:rsidRPr="00542FD7">
        <w:t xml:space="preserve"> </w:t>
      </w:r>
      <w:r w:rsidRPr="00542FD7">
        <w:rPr>
          <w:rFonts w:ascii="Times New Roman" w:hAnsi="Times New Roman" w:cs="Times New Roman"/>
          <w:sz w:val="28"/>
          <w:szCs w:val="28"/>
        </w:rPr>
        <w:t>товара (работы, услуги)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 как частное от деления общей стоимости конкретной позиции  </w:t>
      </w:r>
      <w:r w:rsidRPr="00542FD7">
        <w:rPr>
          <w:rFonts w:ascii="Times New Roman" w:hAnsi="Times New Roman" w:cs="Times New Roman"/>
          <w:sz w:val="28"/>
          <w:szCs w:val="28"/>
        </w:rPr>
        <w:t xml:space="preserve">товара (работы, услуги) </w:t>
      </w:r>
      <w:r>
        <w:rPr>
          <w:rFonts w:ascii="Times New Roman" w:hAnsi="Times New Roman" w:cs="Times New Roman"/>
          <w:sz w:val="28"/>
          <w:szCs w:val="28"/>
        </w:rPr>
        <w:t>за конкретное количество единиц товара (работы, услуги)».</w:t>
      </w:r>
    </w:p>
    <w:p w:rsidR="00542FD7" w:rsidRPr="008B2502" w:rsidRDefault="00542FD7" w:rsidP="00230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FD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42FD7">
        <w:rPr>
          <w:rFonts w:ascii="Times New Roman" w:hAnsi="Times New Roman" w:cs="Times New Roman"/>
          <w:sz w:val="28"/>
          <w:szCs w:val="28"/>
        </w:rPr>
        <w:t xml:space="preserve">) «Заказчик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Pr="00542FD7">
        <w:rPr>
          <w:rFonts w:ascii="Times New Roman" w:hAnsi="Times New Roman" w:cs="Times New Roman"/>
          <w:sz w:val="28"/>
          <w:szCs w:val="28"/>
        </w:rPr>
        <w:t xml:space="preserve"> расчете НМЦ</w:t>
      </w:r>
      <w:r>
        <w:rPr>
          <w:rFonts w:ascii="Times New Roman" w:hAnsi="Times New Roman" w:cs="Times New Roman"/>
          <w:sz w:val="28"/>
          <w:szCs w:val="28"/>
        </w:rPr>
        <w:t xml:space="preserve"> услуг, обязан рассчитать стоимость каждой единицы услуги</w:t>
      </w:r>
      <w:r w:rsidRPr="00542FD7">
        <w:rPr>
          <w:rFonts w:ascii="Times New Roman" w:hAnsi="Times New Roman" w:cs="Times New Roman"/>
          <w:sz w:val="28"/>
          <w:szCs w:val="28"/>
        </w:rPr>
        <w:t>».</w:t>
      </w:r>
    </w:p>
    <w:p w:rsidR="007B4D40" w:rsidRPr="008B2502" w:rsidRDefault="007B4D40" w:rsidP="00230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02">
        <w:rPr>
          <w:rFonts w:ascii="Times New Roman" w:hAnsi="Times New Roman" w:cs="Times New Roman"/>
          <w:sz w:val="28"/>
          <w:szCs w:val="28"/>
        </w:rPr>
        <w:t xml:space="preserve">4) </w:t>
      </w:r>
      <w:r w:rsidR="002737E2" w:rsidRPr="008B2502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Pr="008B2502">
        <w:rPr>
          <w:rFonts w:ascii="Times New Roman" w:hAnsi="Times New Roman" w:cs="Times New Roman"/>
          <w:sz w:val="28"/>
          <w:szCs w:val="28"/>
        </w:rPr>
        <w:t>часть 6 статьи 34 Закона о контрактной системе изложить в следующей редакции:</w:t>
      </w:r>
    </w:p>
    <w:p w:rsidR="007B4D40" w:rsidRPr="008B2502" w:rsidRDefault="002737E2" w:rsidP="00230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2502">
        <w:rPr>
          <w:rFonts w:ascii="Times New Roman" w:hAnsi="Times New Roman" w:cs="Times New Roman"/>
          <w:sz w:val="28"/>
          <w:szCs w:val="28"/>
        </w:rPr>
        <w:t>«</w:t>
      </w:r>
      <w:r w:rsidR="007B4D40" w:rsidRPr="008B2502">
        <w:rPr>
          <w:rFonts w:ascii="Times New Roman" w:hAnsi="Times New Roman" w:cs="Times New Roman"/>
          <w:sz w:val="28"/>
          <w:szCs w:val="28"/>
        </w:rPr>
        <w:t xml:space="preserve">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заказчик </w:t>
      </w:r>
      <w:r w:rsidRPr="008B2502">
        <w:rPr>
          <w:rFonts w:ascii="Times New Roman" w:hAnsi="Times New Roman" w:cs="Times New Roman"/>
          <w:b/>
          <w:sz w:val="28"/>
          <w:szCs w:val="28"/>
        </w:rPr>
        <w:t xml:space="preserve">ОБЯЗАН </w:t>
      </w:r>
      <w:r w:rsidR="007B4D40" w:rsidRPr="008B2502">
        <w:rPr>
          <w:rFonts w:ascii="Times New Roman" w:hAnsi="Times New Roman" w:cs="Times New Roman"/>
          <w:b/>
          <w:sz w:val="28"/>
          <w:szCs w:val="28"/>
        </w:rPr>
        <w:t>направ</w:t>
      </w:r>
      <w:r w:rsidRPr="008B2502">
        <w:rPr>
          <w:rFonts w:ascii="Times New Roman" w:hAnsi="Times New Roman" w:cs="Times New Roman"/>
          <w:b/>
          <w:sz w:val="28"/>
          <w:szCs w:val="28"/>
        </w:rPr>
        <w:t>ить</w:t>
      </w:r>
      <w:r w:rsidR="007B4D40" w:rsidRPr="008B2502">
        <w:rPr>
          <w:rFonts w:ascii="Times New Roman" w:hAnsi="Times New Roman" w:cs="Times New Roman"/>
          <w:sz w:val="28"/>
          <w:szCs w:val="28"/>
        </w:rPr>
        <w:t xml:space="preserve"> поставщику (подрядчику, исполнителю) требование об уплате неустоек (штрафов, пеней)</w:t>
      </w:r>
      <w:r w:rsidRPr="008B2502">
        <w:rPr>
          <w:rFonts w:ascii="Times New Roman" w:hAnsi="Times New Roman" w:cs="Times New Roman"/>
          <w:sz w:val="28"/>
          <w:szCs w:val="28"/>
        </w:rPr>
        <w:t>. »</w:t>
      </w:r>
      <w:r w:rsidR="007B4D40" w:rsidRPr="008B250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737E2" w:rsidRPr="008B2502" w:rsidRDefault="002737E2" w:rsidP="00230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7E2" w:rsidRPr="008B2502" w:rsidRDefault="002737E2" w:rsidP="00230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02">
        <w:rPr>
          <w:rFonts w:ascii="Times New Roman" w:hAnsi="Times New Roman" w:cs="Times New Roman"/>
          <w:sz w:val="28"/>
          <w:szCs w:val="28"/>
        </w:rPr>
        <w:t>5) статью 95 Закона о контрактной системе дополнить частью 8.1 и изложить ее в следующей редакции:</w:t>
      </w:r>
    </w:p>
    <w:p w:rsidR="002737E2" w:rsidRPr="008B2502" w:rsidRDefault="002737E2" w:rsidP="00230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02">
        <w:rPr>
          <w:rFonts w:ascii="Times New Roman" w:hAnsi="Times New Roman" w:cs="Times New Roman"/>
          <w:sz w:val="28"/>
          <w:szCs w:val="28"/>
        </w:rPr>
        <w:t xml:space="preserve">« 8.1. </w:t>
      </w:r>
      <w:proofErr w:type="gramStart"/>
      <w:r w:rsidRPr="008B2502">
        <w:rPr>
          <w:rFonts w:ascii="Times New Roman" w:hAnsi="Times New Roman" w:cs="Times New Roman"/>
          <w:sz w:val="28"/>
          <w:szCs w:val="28"/>
        </w:rPr>
        <w:t>При расторжении контракта по соглашению сторон</w:t>
      </w:r>
      <w:r w:rsidR="00542FD7">
        <w:rPr>
          <w:rFonts w:ascii="Times New Roman" w:hAnsi="Times New Roman" w:cs="Times New Roman"/>
          <w:sz w:val="28"/>
          <w:szCs w:val="28"/>
        </w:rPr>
        <w:t>, или в одностороннем</w:t>
      </w:r>
      <w:r w:rsidRPr="008B2502">
        <w:rPr>
          <w:rFonts w:ascii="Times New Roman" w:hAnsi="Times New Roman" w:cs="Times New Roman"/>
          <w:sz w:val="28"/>
          <w:szCs w:val="28"/>
        </w:rPr>
        <w:t xml:space="preserve"> по причине невозможности исполнить обязательства</w:t>
      </w:r>
      <w:r w:rsidR="00542FD7" w:rsidRPr="00542FD7">
        <w:t xml:space="preserve"> </w:t>
      </w:r>
      <w:r w:rsidR="00542FD7" w:rsidRPr="00542FD7">
        <w:rPr>
          <w:rFonts w:ascii="Times New Roman" w:hAnsi="Times New Roman" w:cs="Times New Roman"/>
          <w:sz w:val="28"/>
          <w:szCs w:val="28"/>
        </w:rPr>
        <w:t>поставщик</w:t>
      </w:r>
      <w:r w:rsidR="00542FD7">
        <w:rPr>
          <w:rFonts w:ascii="Times New Roman" w:hAnsi="Times New Roman" w:cs="Times New Roman"/>
          <w:sz w:val="28"/>
          <w:szCs w:val="28"/>
        </w:rPr>
        <w:t>ом</w:t>
      </w:r>
      <w:r w:rsidR="00542FD7" w:rsidRPr="00542FD7">
        <w:rPr>
          <w:rFonts w:ascii="Times New Roman" w:hAnsi="Times New Roman" w:cs="Times New Roman"/>
          <w:sz w:val="28"/>
          <w:szCs w:val="28"/>
        </w:rPr>
        <w:t xml:space="preserve"> (подрядчик</w:t>
      </w:r>
      <w:r w:rsidR="00542FD7">
        <w:rPr>
          <w:rFonts w:ascii="Times New Roman" w:hAnsi="Times New Roman" w:cs="Times New Roman"/>
          <w:sz w:val="28"/>
          <w:szCs w:val="28"/>
        </w:rPr>
        <w:t>ом</w:t>
      </w:r>
      <w:r w:rsidR="00542FD7" w:rsidRPr="00542FD7">
        <w:rPr>
          <w:rFonts w:ascii="Times New Roman" w:hAnsi="Times New Roman" w:cs="Times New Roman"/>
          <w:sz w:val="28"/>
          <w:szCs w:val="28"/>
        </w:rPr>
        <w:t>, исполнител</w:t>
      </w:r>
      <w:r w:rsidR="00542FD7">
        <w:rPr>
          <w:rFonts w:ascii="Times New Roman" w:hAnsi="Times New Roman" w:cs="Times New Roman"/>
          <w:sz w:val="28"/>
          <w:szCs w:val="28"/>
        </w:rPr>
        <w:t>ем</w:t>
      </w:r>
      <w:r w:rsidR="00542FD7" w:rsidRPr="00542FD7">
        <w:rPr>
          <w:rFonts w:ascii="Times New Roman" w:hAnsi="Times New Roman" w:cs="Times New Roman"/>
          <w:sz w:val="28"/>
          <w:szCs w:val="28"/>
        </w:rPr>
        <w:t>)</w:t>
      </w:r>
      <w:r w:rsidR="00542FD7">
        <w:rPr>
          <w:rFonts w:ascii="Times New Roman" w:hAnsi="Times New Roman" w:cs="Times New Roman"/>
          <w:sz w:val="28"/>
          <w:szCs w:val="28"/>
        </w:rPr>
        <w:t xml:space="preserve">, </w:t>
      </w:r>
      <w:r w:rsidRPr="008B2502">
        <w:rPr>
          <w:rFonts w:ascii="Times New Roman" w:hAnsi="Times New Roman" w:cs="Times New Roman"/>
          <w:sz w:val="28"/>
          <w:szCs w:val="28"/>
        </w:rPr>
        <w:t>Заказчик обязан направить поставщику (подрядчику, исполнителю):</w:t>
      </w:r>
      <w:proofErr w:type="gramEnd"/>
    </w:p>
    <w:p w:rsidR="002737E2" w:rsidRPr="008B2502" w:rsidRDefault="002737E2" w:rsidP="00230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02">
        <w:rPr>
          <w:rFonts w:ascii="Times New Roman" w:hAnsi="Times New Roman" w:cs="Times New Roman"/>
          <w:sz w:val="28"/>
          <w:szCs w:val="28"/>
        </w:rPr>
        <w:t xml:space="preserve">А) </w:t>
      </w:r>
      <w:r w:rsidR="00542FD7">
        <w:rPr>
          <w:rFonts w:ascii="Times New Roman" w:hAnsi="Times New Roman" w:cs="Times New Roman"/>
          <w:sz w:val="28"/>
          <w:szCs w:val="28"/>
        </w:rPr>
        <w:t>требование об уплате неустоек (</w:t>
      </w:r>
      <w:r w:rsidRPr="008B2502">
        <w:rPr>
          <w:rFonts w:ascii="Times New Roman" w:hAnsi="Times New Roman" w:cs="Times New Roman"/>
          <w:sz w:val="28"/>
          <w:szCs w:val="28"/>
        </w:rPr>
        <w:t>пеней) от суммы исполненного обязательства;</w:t>
      </w:r>
    </w:p>
    <w:p w:rsidR="002737E2" w:rsidRPr="008B2502" w:rsidRDefault="002737E2" w:rsidP="00230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02">
        <w:rPr>
          <w:rFonts w:ascii="Times New Roman" w:hAnsi="Times New Roman" w:cs="Times New Roman"/>
          <w:sz w:val="28"/>
          <w:szCs w:val="28"/>
        </w:rPr>
        <w:t>Б) требование об уплате штрафа</w:t>
      </w:r>
      <w:r w:rsidR="00542FD7">
        <w:rPr>
          <w:rFonts w:ascii="Times New Roman" w:hAnsi="Times New Roman" w:cs="Times New Roman"/>
          <w:sz w:val="28"/>
          <w:szCs w:val="28"/>
        </w:rPr>
        <w:t xml:space="preserve"> за неисполнение обязательства</w:t>
      </w:r>
      <w:r w:rsidRPr="008B2502">
        <w:rPr>
          <w:rFonts w:ascii="Times New Roman" w:hAnsi="Times New Roman" w:cs="Times New Roman"/>
          <w:sz w:val="28"/>
          <w:szCs w:val="28"/>
        </w:rPr>
        <w:t>;</w:t>
      </w:r>
    </w:p>
    <w:p w:rsidR="002737E2" w:rsidRPr="008B2502" w:rsidRDefault="002737E2" w:rsidP="00230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02">
        <w:rPr>
          <w:rFonts w:ascii="Times New Roman" w:hAnsi="Times New Roman" w:cs="Times New Roman"/>
          <w:sz w:val="28"/>
          <w:szCs w:val="28"/>
        </w:rPr>
        <w:t>В) требование об уплате неустойки от неисполненного обязательства».</w:t>
      </w:r>
    </w:p>
    <w:p w:rsidR="002737E2" w:rsidRPr="008B2502" w:rsidRDefault="002737E2" w:rsidP="00230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7E2" w:rsidRPr="008B2502" w:rsidRDefault="002737E2" w:rsidP="00230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02">
        <w:rPr>
          <w:rFonts w:ascii="Times New Roman" w:hAnsi="Times New Roman" w:cs="Times New Roman"/>
          <w:sz w:val="28"/>
          <w:szCs w:val="28"/>
        </w:rPr>
        <w:t>6) Дополнить статью 7.32 КоАП РФ частью 5.1 и изложить ее в следующей редакции:</w:t>
      </w:r>
    </w:p>
    <w:p w:rsidR="002F22AC" w:rsidRDefault="00542FD7" w:rsidP="00230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="002737E2" w:rsidRPr="008B2502">
        <w:rPr>
          <w:rFonts w:ascii="Times New Roman" w:hAnsi="Times New Roman" w:cs="Times New Roman"/>
          <w:sz w:val="28"/>
          <w:szCs w:val="28"/>
        </w:rPr>
        <w:t>Ненаправление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Заказчиком</w:t>
      </w:r>
      <w:r w:rsidR="002737E2" w:rsidRPr="008B2502">
        <w:rPr>
          <w:rFonts w:ascii="Times New Roman" w:hAnsi="Times New Roman" w:cs="Times New Roman"/>
          <w:sz w:val="28"/>
          <w:szCs w:val="28"/>
        </w:rPr>
        <w:t xml:space="preserve"> требования об уплате неустоек (пеней), штрафов при Расторжении контракта по соглашению сторон</w:t>
      </w:r>
      <w:r>
        <w:rPr>
          <w:rFonts w:ascii="Times New Roman" w:hAnsi="Times New Roman" w:cs="Times New Roman"/>
          <w:sz w:val="28"/>
          <w:szCs w:val="28"/>
        </w:rPr>
        <w:t xml:space="preserve"> или в одностороннем порядке</w:t>
      </w:r>
      <w:r w:rsidR="002F22AC">
        <w:rPr>
          <w:rFonts w:ascii="Times New Roman" w:hAnsi="Times New Roman" w:cs="Times New Roman"/>
          <w:sz w:val="28"/>
          <w:szCs w:val="28"/>
        </w:rPr>
        <w:t>.</w:t>
      </w:r>
    </w:p>
    <w:p w:rsidR="002737E2" w:rsidRPr="008B2502" w:rsidRDefault="002F22AC" w:rsidP="00230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2AC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должностных лиц в размере двадцати тысяч рублей; на юридиче</w:t>
      </w:r>
      <w:r>
        <w:rPr>
          <w:rFonts w:ascii="Times New Roman" w:hAnsi="Times New Roman" w:cs="Times New Roman"/>
          <w:sz w:val="28"/>
          <w:szCs w:val="28"/>
        </w:rPr>
        <w:t>ских лиц - двухсот тысяч рублей</w:t>
      </w:r>
      <w:r w:rsidR="00542FD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15BF" w:rsidRPr="008B2502" w:rsidRDefault="00C915BF" w:rsidP="00230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043C" w:rsidRPr="008B2502" w:rsidRDefault="0023043C" w:rsidP="00230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3E70" w:rsidRPr="008B2502" w:rsidRDefault="004C3E70" w:rsidP="00230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3E70" w:rsidRPr="008B2502" w:rsidRDefault="004C3E70" w:rsidP="00230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C3E70" w:rsidRPr="008B2502" w:rsidSect="00070E69"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7517D"/>
    <w:multiLevelType w:val="hybridMultilevel"/>
    <w:tmpl w:val="B5FCFFA6"/>
    <w:lvl w:ilvl="0" w:tplc="DB3E72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E70"/>
    <w:rsid w:val="00070E69"/>
    <w:rsid w:val="00142D9E"/>
    <w:rsid w:val="0017381C"/>
    <w:rsid w:val="0023043C"/>
    <w:rsid w:val="002737E2"/>
    <w:rsid w:val="0028368E"/>
    <w:rsid w:val="002F22AC"/>
    <w:rsid w:val="00300F38"/>
    <w:rsid w:val="00435AC9"/>
    <w:rsid w:val="004C3E70"/>
    <w:rsid w:val="004F2C67"/>
    <w:rsid w:val="00542FD7"/>
    <w:rsid w:val="005A7CDE"/>
    <w:rsid w:val="005B5612"/>
    <w:rsid w:val="005E4698"/>
    <w:rsid w:val="00650792"/>
    <w:rsid w:val="0074440B"/>
    <w:rsid w:val="007B0685"/>
    <w:rsid w:val="007B4D40"/>
    <w:rsid w:val="008B2502"/>
    <w:rsid w:val="008E5F2B"/>
    <w:rsid w:val="00942F60"/>
    <w:rsid w:val="009F3CF1"/>
    <w:rsid w:val="00A76C14"/>
    <w:rsid w:val="00A83F4D"/>
    <w:rsid w:val="00B95204"/>
    <w:rsid w:val="00BA5546"/>
    <w:rsid w:val="00C915BF"/>
    <w:rsid w:val="00D10FC1"/>
    <w:rsid w:val="00D716AD"/>
    <w:rsid w:val="00DF46DE"/>
    <w:rsid w:val="00E03F7D"/>
    <w:rsid w:val="00EE5DD8"/>
    <w:rsid w:val="00F11AFB"/>
    <w:rsid w:val="00F36E70"/>
    <w:rsid w:val="00F7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E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E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2429</Words>
  <Characters>13847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Симонова Т.Ю.</cp:lastModifiedBy>
  <cp:revision>2</cp:revision>
  <dcterms:created xsi:type="dcterms:W3CDTF">2016-08-04T10:52:00Z</dcterms:created>
  <dcterms:modified xsi:type="dcterms:W3CDTF">2016-08-04T10:52:00Z</dcterms:modified>
</cp:coreProperties>
</file>